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p>
    <w:p>
      <w:pPr>
        <w:spacing w:after="60" w:before="0"/>
        <w:jc w:val="center"/>
      </w:pPr>
      <w:r>
        <w:rPr>
          <w:rFonts w:ascii="Arial" w:cs="Arial" w:eastAsia="Arial" w:hAnsi="Arial"/>
          <w:b/>
          <w:bCs/>
          <w:color w:val="8898AA"/>
          <w:spacing w:val="150"/>
          <w:sz w:val="20"/>
          <w:szCs w:val="20"/>
        </w:rPr>
        <w:t xml:space="preserve">NEXTGEN IT SOLUTIONS GMBH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none" w:sz="0"/>
              <w:bottom w:val="single" w:color="DDE3EC" w:sz="1"/>
              <w:right w:val="none" w:sz="0"/>
            </w:tcBorders>
            <w:shd w:fill="1B3A5C" w:val="clear"/>
            <w:tcMar>
              <w:top w:type="dxa" w:w="300"/>
              <w:left w:type="dxa" w:w="360"/>
              <w:bottom w:type="dxa" w:w="300"/>
              <w:right w:type="dxa" w:w="360"/>
            </w:tcMar>
          </w:tcPr>
          <w:p>
            <w:pPr>
              <w:spacing w:after="60" w:before="0"/>
              <w:jc w:val="center"/>
            </w:pPr>
            <w:r>
              <w:rPr>
                <w:rFonts w:ascii="Arial" w:cs="Arial" w:eastAsia="Arial" w:hAnsi="Arial"/>
                <w:color w:val="E6F1FB"/>
                <w:sz w:val="28"/>
                <w:szCs w:val="28"/>
              </w:rPr>
              <w:t xml:space="preserve">Systemarchitektur</w:t>
            </w:r>
          </w:p>
          <w:p>
            <w:pPr>
              <w:spacing w:after="80" w:before="0"/>
              <w:jc w:val="center"/>
            </w:pPr>
            <w:r>
              <w:rPr>
                <w:rFonts w:ascii="Arial" w:cs="Arial" w:eastAsia="Arial" w:hAnsi="Arial"/>
                <w:b/>
                <w:bCs/>
                <w:color w:val="FFFFFF"/>
                <w:sz w:val="72"/>
                <w:szCs w:val="72"/>
              </w:rPr>
              <w:t xml:space="preserve">OpenClaw Enterprise</w:t>
            </w:r>
          </w:p>
          <w:p>
            <w:pPr>
              <w:spacing w:after="40" w:before="0"/>
              <w:jc w:val="center"/>
            </w:pPr>
            <w:r>
              <w:rPr>
                <w:rFonts w:ascii="Arial" w:cs="Arial" w:eastAsia="Arial" w:hAnsi="Arial"/>
                <w:i/>
                <w:iCs/>
                <w:color w:val="E6F1FB"/>
                <w:sz w:val="24"/>
                <w:szCs w:val="24"/>
              </w:rPr>
              <w:t xml:space="preserve">12 Architekturschichten — Vollständige technische Dokumentation</w:t>
            </w:r>
          </w:p>
          <w:p>
            <w:pPr>
              <w:jc w:val="center"/>
            </w:pPr>
            <w:r>
              <w:rPr>
                <w:rFonts w:ascii="Arial" w:cs="Arial" w:eastAsia="Arial" w:hAnsi="Arial"/>
                <w:color w:val="E6F1FB"/>
                <w:sz w:val="19"/>
                <w:szCs w:val="19"/>
              </w:rPr>
              <w:t xml:space="preserve">Infrastruktur · Sicherheit · Netzwerk · Applikation · KI/LLM · Kanäle · Daten · Frontend · Monitoring · Multi-Tenancy · Integrationen · Compliance</w:t>
            </w:r>
          </w:p>
        </w:tc>
      </w:tr>
    </w:tbl>
    <w:p>
      <w:pPr>
        <w:spacing w:after="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Version</w:t>
            </w:r>
          </w:p>
        </w:tc>
        <w:tc>
          <w:tcPr>
            <w:tcW w:type="dxa" w:w="2257"/>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1.0</w:t>
            </w:r>
          </w:p>
        </w:tc>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Datum</w:t>
            </w:r>
          </w:p>
        </w:tc>
        <w:tc>
          <w:tcPr>
            <w:tcW w:type="dxa" w:w="2257"/>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März 2026</w:t>
            </w:r>
          </w:p>
        </w:tc>
      </w:tr>
      <w:tr>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Erstellt von</w:t>
            </w:r>
          </w:p>
        </w:tc>
        <w:tc>
          <w:tcPr>
            <w:tcW w:type="dxa" w:w="2257"/>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center"/>
            </w:pPr>
            <w:r>
              <w:rPr>
                <w:rFonts w:ascii="Arial" w:cs="Arial" w:eastAsia="Arial" w:hAnsi="Arial"/>
                <w:b w:val="false"/>
                <w:bCs w:val="false"/>
                <w:color w:val="185FA5"/>
                <w:sz w:val="20"/>
                <w:szCs w:val="20"/>
              </w:rPr>
              <w:t xml:space="preserve">12-Agenten-Orchestrator</w:t>
            </w:r>
          </w:p>
        </w:tc>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Status</w:t>
            </w:r>
          </w:p>
        </w:tc>
        <w:tc>
          <w:tcPr>
            <w:tcW w:type="dxa" w:w="2257"/>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Intern · Vertraulich</w:t>
            </w:r>
          </w:p>
        </w:tc>
      </w:tr>
    </w:tbl>
    <w:p>
      <w:pPr>
        <w:pageBreakBefore/>
      </w:pPr>
    </w:p>
    <w:p>
      <w:pPr>
        <w:pStyle w:val="Heading1"/>
        <w:spacing w:after="200" w:before="480"/>
      </w:pPr>
      <w:r>
        <w:rPr>
          <w:rFonts w:ascii="Arial" w:cs="Arial" w:eastAsia="Arial" w:hAnsi="Arial"/>
          <w:b/>
          <w:bCs/>
          <w:color w:val="1B3A5C"/>
        </w:rPr>
        <w:t xml:space="preserve">Architekturübersicht — 12-Schichten-Modell</w:t>
      </w:r>
    </w:p>
    <w:p>
      <w:pPr>
        <w:spacing w:before="160" w:after="80"/>
      </w:pPr>
    </w:p>
    <w:p>
      <w:pPr>
        <w:spacing w:before="80" w:after="40"/>
        <w:jc w:val="center"/>
      </w:pPr>
      <w:r>
        <w:drawing>
          <wp:inline xmlns:a="http://schemas.openxmlformats.org/drawingml/2006/main" xmlns:pic="http://schemas.openxmlformats.org/drawingml/2006/picture">
            <wp:extent cx="5760720" cy="3608922"/>
            <wp:docPr id="1" name="Picture 1"/>
            <wp:cNvGraphicFramePr>
              <a:graphicFrameLocks noChangeAspect="1"/>
            </wp:cNvGraphicFramePr>
            <a:graphic>
              <a:graphicData uri="http://schemas.openxmlformats.org/drawingml/2006/picture">
                <pic:pic>
                  <pic:nvPicPr>
                    <pic:cNvPr id="0" name="d0_layer_stack.png"/>
                    <pic:cNvPicPr/>
                  </pic:nvPicPr>
                  <pic:blipFill>
                    <a:blip r:embed="rId10"/>
                    <a:stretch>
                      <a:fillRect/>
                    </a:stretch>
                  </pic:blipFill>
                  <pic:spPr>
                    <a:xfrm>
                      <a:off x="0" y="0"/>
                      <a:ext cx="5760720" cy="3608922"/>
                    </a:xfrm>
                    <a:prstGeom prst="rect"/>
                  </pic:spPr>
                </pic:pic>
              </a:graphicData>
            </a:graphic>
          </wp:inline>
        </w:drawing>
      </w:r>
    </w:p>
    <w:p>
      <w:pPr>
        <w:spacing w:before="40" w:after="280"/>
        <w:jc w:val="center"/>
      </w:pPr>
      <w:r>
        <w:rPr>
          <w:i/>
          <w:color w:val="8898AA"/>
          <w:sz w:val="18"/>
        </w:rPr>
        <w:t>Abb. 1: OpenClaw Enterprise — Übersicht aller 12 Architekturschichten</w:t>
      </w:r>
    </w:p>
    <w:p>
      <w:pPr>
        <w:pBdr>
          <w:bottom w:val="single" w:color="2E75B6"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OpenClaw Enterprise folgt einem strikten Schichtenmodell (Layered Architecture). Jede Schicht hat eine klar definierte Verantwortung, kommuniziert nur mit benachbarten Schichten und ist unabhängig skalierbar. Das Modell basiert auf den Prinzipien Defense-in-Depth (Sicherheit), Mandantenisolation (Multi-Tenancy) und Cloud-Souveränität (EU-only Datenverarbeitung).</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600"/>
        <w:gridCol w:w="2726"/>
        <w:gridCol w:w="1800"/>
        <w:gridCol w:w="2200"/>
      </w:tblGrid>
      <w:tr>
        <w:tc>
          <w:tcPr>
            <w:tcW w:type="dxa" w:w="7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Nr.</w:t>
            </w:r>
          </w:p>
        </w:tc>
        <w:tc>
          <w:tcPr>
            <w:tcW w:type="dxa" w:w="16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Schicht</w:t>
            </w:r>
          </w:p>
        </w:tc>
        <w:tc>
          <w:tcPr>
            <w:tcW w:type="dxa" w:w="27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Kerntechnologien</w:t>
            </w:r>
          </w:p>
        </w:tc>
        <w:tc>
          <w:tcPr>
            <w:tcW w:type="dxa" w:w="18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Primärverantwortung</w:t>
            </w:r>
          </w:p>
        </w:tc>
        <w:tc>
          <w:tcPr>
            <w:tcW w:type="dxa" w:w="22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Kapitel</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Infrastruktur</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CX42/CCX/GX3 · k3s · Object-Storage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Server, Netzwerk, Storage</w:t>
            </w:r>
          </w:p>
        </w:tc>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tcPr>
          <w:p>
            <w:r>
              <w:rPr>
                <w:rFonts w:ascii="Arial" w:cs="Arial" w:eastAsia="Arial" w:hAnsi="Arial"/>
                <w:color w:val="185FA5"/>
                <w:sz w:val="19"/>
                <w:szCs w:val="19"/>
              </w:rPr>
              <w:t xml:space="preserve">Kapitel 2</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L2</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Sicherheit</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WAF · Vault · Trivy · BSI-Grundschutz · TLS 1.3</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Schutz, Verschlüsselung, Compliance</w:t>
            </w:r>
          </w:p>
        </w:tc>
        <w:tc>
          <w:tcPr>
            <w:tcW w:type="dxa" w:w="22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tcPr>
          <w:p>
            <w:r>
              <w:rPr>
                <w:rFonts w:ascii="Arial" w:cs="Arial" w:eastAsia="Arial" w:hAnsi="Arial"/>
                <w:color w:val="185FA5"/>
                <w:sz w:val="19"/>
                <w:szCs w:val="19"/>
              </w:rPr>
              <w:t xml:space="preserve">Kapitel 3</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L3</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Netzwerk</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 v3 · CoreDNS · NetworkPolicies · VLAN</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Routing, Rate-Limiting, Isolation</w:t>
            </w:r>
          </w:p>
        </w:tc>
        <w:tc>
          <w:tcPr>
            <w:tcW w:type="dxa" w:w="2200"/>
            <w:tcBorders>
              <w:top w:val="single" w:color="DDE3EC" w:sz="1"/>
              <w:left w:val="single" w:color="DDE3EC" w:sz="1"/>
              <w:bottom w:val="single" w:color="DDE3EC" w:sz="1"/>
              <w:right w:val="single" w:color="DDE3EC" w:sz="1"/>
            </w:tcBorders>
            <w:shd w:fill="EEEDFE" w:val="clear"/>
            <w:tcMar>
              <w:top w:type="dxa" w:w="60"/>
              <w:left w:type="dxa" w:w="110"/>
              <w:bottom w:type="dxa" w:w="60"/>
              <w:right w:type="dxa" w:w="110"/>
            </w:tcMar>
          </w:tcPr>
          <w:p>
            <w:r>
              <w:rPr>
                <w:rFonts w:ascii="Arial" w:cs="Arial" w:eastAsia="Arial" w:hAnsi="Arial"/>
                <w:color w:val="185FA5"/>
                <w:sz w:val="19"/>
                <w:szCs w:val="19"/>
              </w:rPr>
              <w:t xml:space="preserve">Kapitel 4</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L4</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Applikation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OpenClaw Gateway · Pi-Agent · BullMQ · Skills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Message-Processing, Tool-Execution</w:t>
            </w:r>
          </w:p>
        </w:tc>
        <w:tc>
          <w:tcPr>
            <w:tcW w:type="dxa" w:w="22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tcPr>
          <w:p>
            <w:r>
              <w:rPr>
                <w:rFonts w:ascii="Arial" w:cs="Arial" w:eastAsia="Arial" w:hAnsi="Arial"/>
                <w:color w:val="185FA5"/>
                <w:sz w:val="19"/>
                <w:szCs w:val="19"/>
              </w:rPr>
              <w:t xml:space="preserve">Kapitel 5</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L5</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KI &amp; LLM</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callLLM() · Bedrock EU · Mistral · Ollama · Aleph Alpha</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KI-Routing, Token-Management</w:t>
            </w:r>
          </w:p>
        </w:tc>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tcPr>
          <w:p>
            <w:r>
              <w:rPr>
                <w:rFonts w:ascii="Arial" w:cs="Arial" w:eastAsia="Arial" w:hAnsi="Arial"/>
                <w:color w:val="185FA5"/>
                <w:sz w:val="19"/>
                <w:szCs w:val="19"/>
              </w:rPr>
              <w:t xml:space="preserve">Kapitel 6</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L6</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Kanal-Integration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WhatsApp API · Teams · Telegram · Slack · WebChat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Eingehende/ausgehende Nachrichten</w:t>
            </w:r>
          </w:p>
        </w:tc>
        <w:tc>
          <w:tcPr>
            <w:tcW w:type="dxa" w:w="2200"/>
            <w:tcBorders>
              <w:top w:val="single" w:color="DDE3EC" w:sz="1"/>
              <w:left w:val="single" w:color="DDE3EC" w:sz="1"/>
              <w:bottom w:val="single" w:color="DDE3EC" w:sz="1"/>
              <w:right w:val="single" w:color="DDE3EC" w:sz="1"/>
            </w:tcBorders>
            <w:shd w:fill="E1F5EE" w:val="clear"/>
            <w:tcMar>
              <w:top w:type="dxa" w:w="60"/>
              <w:left w:type="dxa" w:w="110"/>
              <w:bottom w:type="dxa" w:w="60"/>
              <w:right w:type="dxa" w:w="110"/>
            </w:tcMar>
          </w:tcPr>
          <w:p>
            <w:r>
              <w:rPr>
                <w:rFonts w:ascii="Arial" w:cs="Arial" w:eastAsia="Arial" w:hAnsi="Arial"/>
                <w:color w:val="185FA5"/>
                <w:sz w:val="19"/>
                <w:szCs w:val="19"/>
              </w:rPr>
              <w:t xml:space="preserve">Kapitel 7</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L7</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Datenschicht</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16 · Redis 7 · pgvector · MinIO/S3</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Persistenz, Cache, Embeddings, Backups</w:t>
            </w:r>
          </w:p>
        </w:tc>
        <w:tc>
          <w:tcPr>
            <w:tcW w:type="dxa" w:w="22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tcPr>
          <w:p>
            <w:r>
              <w:rPr>
                <w:rFonts w:ascii="Arial" w:cs="Arial" w:eastAsia="Arial" w:hAnsi="Arial"/>
                <w:color w:val="185FA5"/>
                <w:sz w:val="19"/>
                <w:szCs w:val="19"/>
              </w:rPr>
              <w:t xml:space="preserve">Kapitel 8</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L8</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Frontend &amp; Portal</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Next.js 15 · shadcn/ui · NextAuth.js · tRPC</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Kundenportal, Self-Service, WebChat</w:t>
            </w:r>
          </w:p>
        </w:tc>
        <w:tc>
          <w:tcPr>
            <w:tcW w:type="dxa" w:w="2200"/>
            <w:tcBorders>
              <w:top w:val="single" w:color="DDE3EC" w:sz="1"/>
              <w:left w:val="single" w:color="DDE3EC" w:sz="1"/>
              <w:bottom w:val="single" w:color="DDE3EC" w:sz="1"/>
              <w:right w:val="single" w:color="DDE3EC" w:sz="1"/>
            </w:tcBorders>
            <w:shd w:fill="EEEDFE" w:val="clear"/>
            <w:tcMar>
              <w:top w:type="dxa" w:w="60"/>
              <w:left w:type="dxa" w:w="110"/>
              <w:bottom w:type="dxa" w:w="60"/>
              <w:right w:type="dxa" w:w="110"/>
            </w:tcMar>
          </w:tcPr>
          <w:p>
            <w:r>
              <w:rPr>
                <w:rFonts w:ascii="Arial" w:cs="Arial" w:eastAsia="Arial" w:hAnsi="Arial"/>
                <w:color w:val="185FA5"/>
                <w:sz w:val="19"/>
                <w:szCs w:val="19"/>
              </w:rPr>
              <w:t xml:space="preserve">Kapitel 9</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L9</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Monitoring</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Prometheus · Grafana · Loki · Alertmanager</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Observability, SLA-Tracking, Alarme</w:t>
            </w:r>
          </w:p>
        </w:tc>
        <w:tc>
          <w:tcPr>
            <w:tcW w:type="dxa" w:w="22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tcPr>
          <w:p>
            <w:r>
              <w:rPr>
                <w:rFonts w:ascii="Arial" w:cs="Arial" w:eastAsia="Arial" w:hAnsi="Arial"/>
                <w:color w:val="185FA5"/>
                <w:sz w:val="19"/>
                <w:szCs w:val="19"/>
              </w:rPr>
              <w:t xml:space="preserve">Kapitel 10</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L10</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Multi-Tenancy</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Namespaces · Terraform · Helm · RBAC</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Mandantenisolation, Lifecycle</w:t>
            </w:r>
          </w:p>
        </w:tc>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tcPr>
          <w:p>
            <w:r>
              <w:rPr>
                <w:rFonts w:ascii="Arial" w:cs="Arial" w:eastAsia="Arial" w:hAnsi="Arial"/>
                <w:color w:val="185FA5"/>
                <w:sz w:val="19"/>
                <w:szCs w:val="19"/>
              </w:rPr>
              <w:t xml:space="preserve">Kapitel 11</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Integrationen</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REST API · Webhooks · Shopify · DATEV · Stripe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Externe Systeme, ERP, Zahlungen</w:t>
            </w:r>
          </w:p>
        </w:tc>
        <w:tc>
          <w:tcPr>
            <w:tcW w:type="dxa" w:w="22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tcPr>
          <w:p>
            <w:r>
              <w:rPr>
                <w:rFonts w:ascii="Arial" w:cs="Arial" w:eastAsia="Arial" w:hAnsi="Arial"/>
                <w:color w:val="185FA5"/>
                <w:sz w:val="19"/>
                <w:szCs w:val="19"/>
              </w:rPr>
              <w:t xml:space="preserve">Kapitel 12</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L12</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Compliance</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DSGVO-Pipeline · Audit-Trail · BSI · ISO 27001</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Datenschutz, Auditierbarkeit, Recht</w:t>
            </w:r>
          </w:p>
        </w:tc>
        <w:tc>
          <w:tcPr>
            <w:tcW w:type="dxa" w:w="22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tcPr>
          <w:p>
            <w:r>
              <w:rPr>
                <w:rFonts w:ascii="Arial" w:cs="Arial" w:eastAsia="Arial" w:hAnsi="Arial"/>
                <w:color w:val="185FA5"/>
                <w:sz w:val="19"/>
                <w:szCs w:val="19"/>
              </w:rPr>
              <w:t xml:space="preserve">Kapitel 13</w:t>
            </w:r>
          </w:p>
        </w:tc>
      </w:tr>
    </w:tbl>
    <w:p>
      <w:pPr>
        <w:spacing w:after="0" w:before="80"/>
      </w:pPr>
    </w:p>
    <w:p>
      <w:pPr>
        <w:spacing w:after="80" w:before="60"/>
      </w:pPr>
      <w:r>
        <w:rPr>
          <w:rFonts w:ascii="Arial" w:cs="Arial" w:eastAsia="Arial" w:hAnsi="Arial"/>
          <w:b w:val="false"/>
          <w:bCs w:val="false"/>
          <w:i/>
          <w:iCs/>
          <w:color w:val="8898AA"/>
          <w:sz w:val="22"/>
          <w:szCs w:val="22"/>
        </w:rPr>
        <w:t xml:space="preserve">Datenfluss-Prinzip: Alle eingehenden Nachrichten durchlaufen die Schichten von oben nach unten (L3→L4→L5→L6), alle ausgehenden von unten nach oben. Die Querschnittsschichten L2 (Sicherheit), L9 (Monitoring), L10 (Multi-Tenancy) und L12 (Compliance) wirken auf alle anderen Schichten gleichzeitig.</w:t>
      </w:r>
    </w:p>
    <w:p>
      <w:pPr>
        <w:spacing w:before="160" w:after="80"/>
      </w:pPr>
    </w:p>
    <w:p>
      <w:pPr>
        <w:spacing w:before="80" w:after="40"/>
        <w:jc w:val="center"/>
      </w:pPr>
      <w:r>
        <w:drawing>
          <wp:inline xmlns:a="http://schemas.openxmlformats.org/drawingml/2006/main" xmlns:pic="http://schemas.openxmlformats.org/drawingml/2006/picture">
            <wp:extent cx="5760720" cy="847165"/>
            <wp:docPr id="2" name="Picture 2"/>
            <wp:cNvGraphicFramePr>
              <a:graphicFrameLocks noChangeAspect="1"/>
            </wp:cNvGraphicFramePr>
            <a:graphic>
              <a:graphicData uri="http://schemas.openxmlformats.org/drawingml/2006/picture">
                <pic:pic>
                  <pic:nvPicPr>
                    <pic:cNvPr id="0" name="d0b_e2e_flow.png"/>
                    <pic:cNvPicPr/>
                  </pic:nvPicPr>
                  <pic:blipFill>
                    <a:blip r:embed="rId11"/>
                    <a:stretch>
                      <a:fillRect/>
                    </a:stretch>
                  </pic:blipFill>
                  <pic:spPr>
                    <a:xfrm>
                      <a:off x="0" y="0"/>
                      <a:ext cx="5760720" cy="847165"/>
                    </a:xfrm>
                    <a:prstGeom prst="rect"/>
                  </pic:spPr>
                </pic:pic>
              </a:graphicData>
            </a:graphic>
          </wp:inline>
        </w:drawing>
      </w:r>
    </w:p>
    <w:p>
      <w:pPr>
        <w:spacing w:before="40" w:after="280"/>
        <w:jc w:val="center"/>
      </w:pPr>
      <w:r>
        <w:rPr>
          <w:i/>
          <w:color w:val="8898AA"/>
          <w:sz w:val="18"/>
        </w:rPr>
        <w:t>Abb. 2: End-to-End-Nachrichtenfluss — von der Nutzernachricht bis zur Antwort</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0D2B5C"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0D2B5C"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Infrastruktur</w:t>
            </w:r>
          </w:p>
          <w:p>
            <w:r>
              <w:rPr>
                <w:rFonts w:ascii="Arial" w:cs="Arial" w:eastAsia="Arial" w:hAnsi="Arial"/>
                <w:i/>
                <w:iCs/>
                <w:color w:val="FFFFFF"/>
                <w:sz w:val="22"/>
                <w:szCs w:val="22"/>
              </w:rPr>
              <w:t xml:space="preserve">Hetzner · k3s · Netzwerk · Storage · DNS</w:t>
            </w:r>
          </w:p>
        </w:tc>
      </w:tr>
    </w:tbl>
    <w:p>
      <w:pPr>
        <w:pageBreakBefore/>
      </w:pPr>
    </w:p>
    <w:p>
      <w:pPr>
        <w:pStyle w:val="Heading1"/>
        <w:spacing w:after="200" w:before="480"/>
      </w:pPr>
      <w:r>
        <w:rPr>
          <w:rFonts w:ascii="Arial" w:cs="Arial" w:eastAsia="Arial" w:hAnsi="Arial"/>
          <w:b/>
          <w:bCs/>
          <w:color w:val="1B3A5C"/>
        </w:rPr>
        <w:t xml:space="preserve">L1 — Infrastruktur-Schicht</w:t>
      </w:r>
    </w:p>
    <w:p>
      <w:pPr>
        <w:spacing w:before="160" w:after="80"/>
      </w:pPr>
    </w:p>
    <w:p>
      <w:pPr>
        <w:spacing w:before="80" w:after="40"/>
        <w:jc w:val="center"/>
      </w:pPr>
      <w:r>
        <w:drawing>
          <wp:inline xmlns:a="http://schemas.openxmlformats.org/drawingml/2006/main" xmlns:pic="http://schemas.openxmlformats.org/drawingml/2006/picture">
            <wp:extent cx="5760720" cy="2626211"/>
            <wp:docPr id="3" name="Picture 3"/>
            <wp:cNvGraphicFramePr>
              <a:graphicFrameLocks noChangeAspect="1"/>
            </wp:cNvGraphicFramePr>
            <a:graphic>
              <a:graphicData uri="http://schemas.openxmlformats.org/drawingml/2006/picture">
                <pic:pic>
                  <pic:nvPicPr>
                    <pic:cNvPr id="0" name="l1_topology.png"/>
                    <pic:cNvPicPr/>
                  </pic:nvPicPr>
                  <pic:blipFill>
                    <a:blip r:embed="rId12"/>
                    <a:stretch>
                      <a:fillRect/>
                    </a:stretch>
                  </pic:blipFill>
                  <pic:spPr>
                    <a:xfrm>
                      <a:off x="0" y="0"/>
                      <a:ext cx="5760720" cy="2626211"/>
                    </a:xfrm>
                    <a:prstGeom prst="rect"/>
                  </pic:spPr>
                </pic:pic>
              </a:graphicData>
            </a:graphic>
          </wp:inline>
        </w:drawing>
      </w:r>
    </w:p>
    <w:p>
      <w:pPr>
        <w:spacing w:before="40" w:after="280"/>
        <w:jc w:val="center"/>
      </w:pPr>
      <w:r>
        <w:rPr>
          <w:i/>
          <w:color w:val="8898AA"/>
          <w:sz w:val="18"/>
        </w:rPr>
        <w:t>Abb. 3: L1 — Hetzner-Infrastruktur-Topologie mit VLANs und Server-Rollen</w:t>
      </w:r>
    </w:p>
    <w:p>
      <w:pPr>
        <w:pBdr>
          <w:bottom w:val="single" w:color="0D2B5C"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gesamte OpenClaw-Enterprise-Infrastruktur läuft auf Hetzner Online GmbH (Nürnberg/Falkenstein, Deutschland). Hetzner ist ein deutsches Unternehmen, unterliegt deutschem Recht und bietet ISO 27001-zertifizierte Rechenzentren. Kein Traffic verlässt die EU — dies ist die Grundlage für DSGVO-Konformität und §203-StGB-taugliche Betriebsmodelle.</w:t>
      </w:r>
    </w:p>
    <w:p>
      <w:pPr>
        <w:spacing w:after="0" w:before="80"/>
      </w:pPr>
    </w:p>
    <w:p>
      <w:pPr>
        <w:pStyle w:val="Heading2"/>
        <w:spacing w:after="100" w:before="280"/>
      </w:pPr>
      <w:r>
        <w:rPr>
          <w:rFonts w:ascii="Arial" w:cs="Arial" w:eastAsia="Arial" w:hAnsi="Arial"/>
          <w:b/>
          <w:bCs/>
          <w:color w:val="0D2B5C"/>
        </w:rPr>
        <w:t xml:space="preserve">Server-Topologie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226"/>
        <w:gridCol w:w="1600"/>
        <w:gridCol w:w="3000"/>
      </w:tblGrid>
      <w:tr>
        <w:tc>
          <w:tcPr>
            <w:tcW w:type="dxa" w:w="18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Rolle</w:t>
            </w:r>
          </w:p>
        </w:tc>
        <w:tc>
          <w:tcPr>
            <w:tcW w:type="dxa" w:w="14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Server-Typ</w:t>
            </w:r>
          </w:p>
        </w:tc>
        <w:tc>
          <w:tcPr>
            <w:tcW w:type="dxa" w:w="1226"/>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vCPU/RAM</w:t>
            </w:r>
          </w:p>
        </w:tc>
        <w:tc>
          <w:tcPr>
            <w:tcW w:type="dxa" w:w="16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Storage</w:t>
            </w:r>
          </w:p>
        </w:tc>
        <w:tc>
          <w:tcPr>
            <w:tcW w:type="dxa" w:w="30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Aufgabe</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k3s Control-Plane (3×)</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CX32</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 vCPU / 8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80 GB SSD</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API-Server, etcd, Controller-Manager, Scheduler</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k3s Worker-Nodes (3×)</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CX42</w:t>
            </w:r>
          </w:p>
        </w:tc>
        <w:tc>
          <w:tcPr>
            <w:tcW w:type="dxa" w:w="1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8 vCPU / 16 GB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160 GB SSD</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OpenClaw-Mandanten-Pods, BullMQ-Workers</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Datenbank-Server</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CCX23</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 vCPU / 8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320 GB NVMe</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16 Primary + Replica, Redis 7</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GPU-Node (Sovereign)</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GX3-120</w:t>
            </w:r>
          </w:p>
        </w:tc>
        <w:tc>
          <w:tcPr>
            <w:tcW w:type="dxa" w:w="1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12 vCPU / 120 GB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TB NVMe + 2× A100</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Ollama: Llama 3.1 70B, Whisper large-v3</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Load Balancer</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LB11</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Managed</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TCP/HTTP-Load-Balancing, SSL-Offloading</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Object Storage</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S3</w:t>
            </w:r>
          </w:p>
        </w:tc>
        <w:tc>
          <w:tcPr>
            <w:tcW w:type="dxa" w:w="1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Managed</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unbegrenzt</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Backups (AES-256), PDF-Exports, User-Uploads</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Monitoring-Server</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CX22</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 vCPU / 4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80 GB SSD</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Prometheus, Grafana, Loki, Alertmanager</w:t>
            </w:r>
          </w:p>
        </w:tc>
      </w:tr>
    </w:tbl>
    <w:p>
      <w:pPr>
        <w:spacing w:after="0" w:before="80"/>
      </w:pPr>
    </w:p>
    <w:p>
      <w:pPr>
        <w:pStyle w:val="Heading2"/>
        <w:spacing w:after="100" w:before="280"/>
      </w:pPr>
      <w:r>
        <w:rPr>
          <w:rFonts w:ascii="Arial" w:cs="Arial" w:eastAsia="Arial" w:hAnsi="Arial"/>
          <w:b/>
          <w:bCs/>
          <w:color w:val="0D2B5C"/>
        </w:rPr>
        <w:t xml:space="preserve">Netzwerk-Topologie</w:t>
      </w:r>
    </w:p>
    <w:p>
      <w:pPr>
        <w:pStyle w:val="ListParagraph"/>
        <w:numPr>
          <w:ilvl w:val="0"/>
          <w:numId w:val="2"/>
        </w:numPr>
        <w:spacing w:after="40" w:before="40"/>
      </w:pPr>
      <w:r>
        <w:rPr>
          <w:rFonts w:ascii="Arial" w:cs="Arial" w:eastAsia="Arial" w:hAnsi="Arial"/>
          <w:color w:val="333F52"/>
          <w:sz w:val="22"/>
          <w:szCs w:val="22"/>
        </w:rPr>
        <w:t xml:space="preserve">Floating IP: Eine öffentliche Floating IP zeigt auf den Hetzner Load Balancer — alle ein/ausgehenden HTTP/HTTPS-Verbindungen laufen darüber</w:t>
      </w:r>
    </w:p>
    <w:p>
      <w:pPr>
        <w:pStyle w:val="ListParagraph"/>
        <w:numPr>
          <w:ilvl w:val="0"/>
          <w:numId w:val="2"/>
        </w:numPr>
        <w:spacing w:after="40" w:before="40"/>
      </w:pPr>
      <w:r>
        <w:rPr>
          <w:rFonts w:ascii="Arial" w:cs="Arial" w:eastAsia="Arial" w:hAnsi="Arial"/>
          <w:color w:val="333F52"/>
          <w:sz w:val="22"/>
          <w:szCs w:val="22"/>
        </w:rPr>
        <w:t xml:space="preserve">Private Netzwerke: Hetzner vSwitch (10.0.0.0/16) trennt Management-Traffic (10.0.1.x), Worker-Traffic (10.0.2.x) und Datenbank-Traffic (10.0.3.x) auf Layer 2</w:t>
      </w:r>
    </w:p>
    <w:p>
      <w:pPr>
        <w:pStyle w:val="ListParagraph"/>
        <w:numPr>
          <w:ilvl w:val="0"/>
          <w:numId w:val="2"/>
        </w:numPr>
        <w:spacing w:after="40" w:before="40"/>
      </w:pPr>
      <w:r>
        <w:rPr>
          <w:rFonts w:ascii="Arial" w:cs="Arial" w:eastAsia="Arial" w:hAnsi="Arial"/>
          <w:color w:val="333F52"/>
          <w:sz w:val="22"/>
          <w:szCs w:val="22"/>
        </w:rPr>
        <w:t xml:space="preserve">DNS: Cloudflare als autoritativer DNS-Server mit DNSSEC, A-Records für *.nextgenitsolutions.de, *.openclaw.app — TTL 300s für schnellen Failover</w:t>
      </w:r>
    </w:p>
    <w:p>
      <w:pPr>
        <w:pStyle w:val="ListParagraph"/>
        <w:numPr>
          <w:ilvl w:val="0"/>
          <w:numId w:val="2"/>
        </w:numPr>
        <w:spacing w:after="40" w:before="40"/>
      </w:pPr>
      <w:r>
        <w:rPr>
          <w:rFonts w:ascii="Arial" w:cs="Arial" w:eastAsia="Arial" w:hAnsi="Arial"/>
          <w:color w:val="333F52"/>
          <w:sz w:val="22"/>
          <w:szCs w:val="22"/>
        </w:rPr>
        <w:t xml:space="preserve">Firewall: Hetzner-Cloud-Firewall lässt eingehend nur Port 80/443 zu — alle anderen Ports geblockt. SSH nur aus definierten Jump-Host-IPs</w:t>
      </w:r>
    </w:p>
    <w:p>
      <w:pPr>
        <w:pStyle w:val="ListParagraph"/>
        <w:numPr>
          <w:ilvl w:val="0"/>
          <w:numId w:val="2"/>
        </w:numPr>
        <w:spacing w:after="40" w:before="40"/>
      </w:pPr>
      <w:r>
        <w:rPr>
          <w:rFonts w:ascii="Arial" w:cs="Arial" w:eastAsia="Arial" w:hAnsi="Arial"/>
          <w:color w:val="333F52"/>
          <w:sz w:val="22"/>
          <w:szCs w:val="22"/>
        </w:rPr>
        <w:t xml:space="preserve">Standort-Redundanz: Control-Plane-Nodes auf zwei Hetzner-Standorte verteilt (NBG1 + FSN1) für Zone-Failover</w:t>
      </w:r>
    </w:p>
    <w:p>
      <w:pPr>
        <w:spacing w:after="0" w:before="80"/>
      </w:pPr>
    </w:p>
    <w:p>
      <w:pPr>
        <w:pStyle w:val="Heading2"/>
        <w:spacing w:after="100" w:before="280"/>
      </w:pPr>
      <w:r>
        <w:rPr>
          <w:rFonts w:ascii="Arial" w:cs="Arial" w:eastAsia="Arial" w:hAnsi="Arial"/>
          <w:b/>
          <w:bCs/>
          <w:color w:val="0D2B5C"/>
        </w:rPr>
        <w:t xml:space="preserve">Storage-Architektur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0D2B5C" w:val="clear"/>
            <w:tcMar>
              <w:top w:type="dxa" w:w="80"/>
              <w:left w:type="dxa" w:w="160"/>
              <w:bottom w:type="dxa" w:w="80"/>
              <w:right w:type="dxa" w:w="160"/>
            </w:tcMar>
          </w:tcPr>
          <w:p>
            <w:r>
              <w:rPr>
                <w:rFonts w:ascii="Arial" w:cs="Arial" w:eastAsia="Arial" w:hAnsi="Arial"/>
                <w:b/>
                <w:bCs/>
                <w:color w:val="FFFFFF"/>
                <w:sz w:val="22"/>
                <w:szCs w:val="22"/>
              </w:rPr>
              <w:t xml:space="preserve">Hetzner Object Storage — Bucket-Struktur</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nextgen-backups-prod: Tägliche PostgreSQL-Dumps (AES-256, 30-Tage-Retention), Hetzner Snapshot-Backups</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nextgen-exports-prod: Mandanten-Datenexporte (DSGVO Art. 20), PDF-Rechnungen — 30 Tage TTL</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nextgen-uploads-prod: Nutzer-Uploads (Bilder, Dokumente für RAG) — Verschlüsselung at-rest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nextgen-terraform-state: Terraform-State-Files (S3-Backend, State-Locking via DynamoDB-kompatibel)</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nextgen-logs-archive: Loki-Log-Archiv über 90 Tage — für Audit/Compliance-Nachweise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Zugriffssteuerung: Bucket-Policies, IAM-ähnliche Hetzner-Service-Accounts mit minimalen Rechten</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8B1A1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L2</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8B1A1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Sicherheits-Schicht</w:t>
            </w:r>
          </w:p>
          <w:p>
            <w:r>
              <w:rPr>
                <w:rFonts w:ascii="Arial" w:cs="Arial" w:eastAsia="Arial" w:hAnsi="Arial"/>
                <w:i/>
                <w:iCs/>
                <w:color w:val="FFFFFF"/>
                <w:sz w:val="22"/>
                <w:szCs w:val="22"/>
              </w:rPr>
              <w:t xml:space="preserve">7-Layer-Defense · WAF · TLS 1.3 · Secrets · BSI</w:t>
            </w:r>
          </w:p>
        </w:tc>
      </w:tr>
    </w:tbl>
    <w:p>
      <w:pPr>
        <w:pageBreakBefore/>
      </w:pPr>
    </w:p>
    <w:p>
      <w:pPr>
        <w:pStyle w:val="Heading1"/>
        <w:spacing w:after="200" w:before="480"/>
      </w:pPr>
      <w:r>
        <w:rPr>
          <w:rFonts w:ascii="Arial" w:cs="Arial" w:eastAsia="Arial" w:hAnsi="Arial"/>
          <w:b/>
          <w:bCs/>
          <w:color w:val="1B3A5C"/>
        </w:rPr>
        <w:t xml:space="preserve">L2 — Sicherheits-Schicht</w:t>
      </w:r>
    </w:p>
    <w:p>
      <w:pPr>
        <w:spacing w:before="160" w:after="80"/>
      </w:pPr>
    </w:p>
    <w:p>
      <w:pPr>
        <w:spacing w:before="80" w:after="40"/>
        <w:jc w:val="center"/>
      </w:pPr>
      <w:r>
        <w:drawing>
          <wp:inline xmlns:a="http://schemas.openxmlformats.org/drawingml/2006/main" xmlns:pic="http://schemas.openxmlformats.org/drawingml/2006/picture">
            <wp:extent cx="5486400" cy="2597972"/>
            <wp:docPr id="4" name="Picture 4"/>
            <wp:cNvGraphicFramePr>
              <a:graphicFrameLocks noChangeAspect="1"/>
            </wp:cNvGraphicFramePr>
            <a:graphic>
              <a:graphicData uri="http://schemas.openxmlformats.org/drawingml/2006/picture">
                <pic:pic>
                  <pic:nvPicPr>
                    <pic:cNvPr id="0" name="l2_security.png"/>
                    <pic:cNvPicPr/>
                  </pic:nvPicPr>
                  <pic:blipFill>
                    <a:blip r:embed="rId13"/>
                    <a:stretch>
                      <a:fillRect/>
                    </a:stretch>
                  </pic:blipFill>
                  <pic:spPr>
                    <a:xfrm>
                      <a:off x="0" y="0"/>
                      <a:ext cx="5486400" cy="2597972"/>
                    </a:xfrm>
                    <a:prstGeom prst="rect"/>
                  </pic:spPr>
                </pic:pic>
              </a:graphicData>
            </a:graphic>
          </wp:inline>
        </w:drawing>
      </w:r>
    </w:p>
    <w:p>
      <w:pPr>
        <w:spacing w:before="40" w:after="280"/>
        <w:jc w:val="center"/>
      </w:pPr>
      <w:r>
        <w:rPr>
          <w:i/>
          <w:color w:val="8898AA"/>
          <w:sz w:val="18"/>
        </w:rPr>
        <w:t>Abb. 4: L2 — 7-Layer Defense-in-Depth Sicherheitsarchitektur</w:t>
      </w:r>
    </w:p>
    <w:p>
      <w:pPr>
        <w:pBdr>
          <w:bottom w:val="single" w:color="8B1A1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Sicherheitsarchitektur folgt dem Defense-in-Depth-Prinzip: Sieben unabhängige Schutzschichten stellen sicher, dass das Überwinden einer einzelnen Schicht keinen vollständigen Kompromiss ermöglicht. Grundlage sind BSI-IT-Grundschutz-Bausteine und OWASP-Top-10-Maßnahmen.</w:t>
      </w:r>
    </w:p>
    <w:p>
      <w:pPr>
        <w:spacing w:after="0" w:before="80"/>
      </w:pPr>
    </w:p>
    <w:p>
      <w:pPr>
        <w:pStyle w:val="Heading2"/>
        <w:spacing w:after="100" w:before="280"/>
      </w:pPr>
      <w:r>
        <w:rPr>
          <w:rFonts w:ascii="Arial" w:cs="Arial" w:eastAsia="Arial" w:hAnsi="Arial"/>
          <w:b/>
          <w:bCs/>
          <w:color w:val="8B1A1A"/>
        </w:rPr>
        <w:t xml:space="preserve">7-Layer-Sicherheitsmodell</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800"/>
        <w:gridCol w:w="2726"/>
        <w:gridCol w:w="3800"/>
      </w:tblGrid>
      <w:tr>
        <w:tc>
          <w:tcPr>
            <w:tcW w:type="dxa" w:w="7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Layer</w:t>
            </w:r>
          </w:p>
        </w:tc>
        <w:tc>
          <w:tcPr>
            <w:tcW w:type="dxa" w:w="18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Name</w:t>
            </w:r>
          </w:p>
        </w:tc>
        <w:tc>
          <w:tcPr>
            <w:tcW w:type="dxa" w:w="2726"/>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Technologien</w:t>
            </w:r>
          </w:p>
        </w:tc>
        <w:tc>
          <w:tcPr>
            <w:tcW w:type="dxa" w:w="38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Schutzmaßnahmen</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S1</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Perimeter</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Firewall · Cloudflare DDoS</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DDoS-Abwehr L3/L4/L7, IP-Allowlisting für Admin-Zugänge, Geo-Blocking optional</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S2</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Transport</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 v3 · TLS 1.3 · HSTS</w:t>
            </w:r>
          </w:p>
        </w:tc>
        <w:tc>
          <w:tcPr>
            <w:tcW w:type="dxa" w:w="3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Nur TLS 1.3 (kein 1.0/1.1), HSTS max-age=31536000, OCSP-Stapling, Perfect Forward Secrecy</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S3</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Netzwerk</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NetworkPolicies · VLAN</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Default-Deny-All, nur explizit erlaubte Routen zwischen Namespaces, kein Cross-Tenant-Traffic</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S4</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Applikation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OWASP WAF · Input-Sanitization</w:t>
            </w:r>
          </w:p>
        </w:tc>
        <w:tc>
          <w:tcPr>
            <w:tcW w:type="dxa" w:w="3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SQL-Injection, XSS, CSRF-Schutz, HTTP-Header-Security (CSP, X-Frame-Options)</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S5</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KI/LLM</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Prompt-Guard · Output-Filter</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Prompt-Injection-Erkennung, Output-Sanitization, Jailbreak-Detection, Token-Anomalie-Alerts</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S6</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 pgcrypto · Argon2</w:t>
            </w:r>
          </w:p>
        </w:tc>
        <w:tc>
          <w:tcPr>
            <w:tcW w:type="dxa" w:w="3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Verschlüsselung at-rest (AES-256), Argon2-Passwort-Hashing, API-Keys nur als Hash gespeichert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S7</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Monitoring</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SIEM · Wazuh · Audit-Log</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Echtzeit-Anomalie-Erkennung, unveränderlicher Audit-Trail, automatische Incident-Response</w:t>
            </w:r>
          </w:p>
        </w:tc>
      </w:tr>
    </w:tbl>
    <w:p>
      <w:pPr>
        <w:spacing w:after="0" w:before="80"/>
      </w:pPr>
    </w:p>
    <w:p>
      <w:pPr>
        <w:pStyle w:val="Heading2"/>
        <w:spacing w:after="100" w:before="280"/>
      </w:pPr>
      <w:r>
        <w:rPr>
          <w:rFonts w:ascii="Arial" w:cs="Arial" w:eastAsia="Arial" w:hAnsi="Arial"/>
          <w:b/>
          <w:bCs/>
          <w:color w:val="8B1A1A"/>
        </w:rPr>
        <w:t xml:space="preserve">Prompt-Injection-Schutz</w:t>
      </w:r>
    </w:p>
    <w:p>
      <w:pPr>
        <w:pStyle w:val="ListParagraph"/>
        <w:numPr>
          <w:ilvl w:val="0"/>
          <w:numId w:val="2"/>
        </w:numPr>
        <w:spacing w:after="40" w:before="40"/>
      </w:pPr>
      <w:r>
        <w:rPr>
          <w:rFonts w:ascii="Arial" w:cs="Arial" w:eastAsia="Arial" w:hAnsi="Arial"/>
          <w:color w:val="333F52"/>
          <w:sz w:val="22"/>
          <w:szCs w:val="22"/>
        </w:rPr>
        <w:t xml:space="preserve">Input-Sanitization: Alle eingehenden Nachrichten werden vor LLM-Übergabe bereinigt — Entfernung von Sonder-Instruktions-Patterns ('Ignore previous instructions', 'System:', '[INST]')</w:t>
      </w:r>
    </w:p>
    <w:p>
      <w:pPr>
        <w:pStyle w:val="ListParagraph"/>
        <w:numPr>
          <w:ilvl w:val="0"/>
          <w:numId w:val="2"/>
        </w:numPr>
        <w:spacing w:after="40" w:before="40"/>
      </w:pPr>
      <w:r>
        <w:rPr>
          <w:rFonts w:ascii="Arial" w:cs="Arial" w:eastAsia="Arial" w:hAnsi="Arial"/>
          <w:color w:val="333F52"/>
          <w:sz w:val="22"/>
          <w:szCs w:val="22"/>
        </w:rPr>
        <w:t xml:space="preserve">Rollen-Durchsetzung: System-Prompt wird vor jeder Anfrage unveränderlich vorangestellt — Nutzer kann System-Rolle nicht überschreiben (Anthropic-native Enforcement)</w:t>
      </w:r>
    </w:p>
    <w:p>
      <w:pPr>
        <w:pStyle w:val="ListParagraph"/>
        <w:numPr>
          <w:ilvl w:val="0"/>
          <w:numId w:val="2"/>
        </w:numPr>
        <w:spacing w:after="40" w:before="40"/>
      </w:pPr>
      <w:r>
        <w:rPr>
          <w:rFonts w:ascii="Arial" w:cs="Arial" w:eastAsia="Arial" w:hAnsi="Arial"/>
          <w:color w:val="333F52"/>
          <w:sz w:val="22"/>
          <w:szCs w:val="22"/>
        </w:rPr>
        <w:t xml:space="preserve">Output-Filtering: LLM-Antworten werden auf verbotene Inhalte, PII-Leakage und Sicherheitslücken gescannt bevor sie an Kanäle gesendet werden</w:t>
      </w:r>
    </w:p>
    <w:p>
      <w:pPr>
        <w:pStyle w:val="ListParagraph"/>
        <w:numPr>
          <w:ilvl w:val="0"/>
          <w:numId w:val="2"/>
        </w:numPr>
        <w:spacing w:after="40" w:before="40"/>
      </w:pPr>
      <w:r>
        <w:rPr>
          <w:rFonts w:ascii="Arial" w:cs="Arial" w:eastAsia="Arial" w:hAnsi="Arial"/>
          <w:color w:val="333F52"/>
          <w:sz w:val="22"/>
          <w:szCs w:val="22"/>
        </w:rPr>
        <w:t xml:space="preserve">Token-Anomalie-Detection: Verbrauch &gt; 3σ vom Mandanten-Durchschnitt löst Alert aus — möglicher Prompt-Injection-Angriff der Context-Length ausnutzt</w:t>
      </w:r>
    </w:p>
    <w:p>
      <w:pPr>
        <w:pStyle w:val="ListParagraph"/>
        <w:numPr>
          <w:ilvl w:val="0"/>
          <w:numId w:val="2"/>
        </w:numPr>
        <w:spacing w:after="40" w:before="40"/>
      </w:pPr>
      <w:r>
        <w:rPr>
          <w:rFonts w:ascii="Arial" w:cs="Arial" w:eastAsia="Arial" w:hAnsi="Arial"/>
          <w:color w:val="333F52"/>
          <w:sz w:val="22"/>
          <w:szCs w:val="22"/>
        </w:rPr>
        <w:t xml:space="preserve">Sandbox-Modus: Tool-Execution in isolierten Docker-Containern (kein Netzwerkzugriff, read-only Filesystem) — Schutz vor Code-Injection über Skills</w:t>
      </w:r>
    </w:p>
    <w:p>
      <w:pPr>
        <w:spacing w:after="0" w:before="80"/>
      </w:pPr>
    </w:p>
    <w:p>
      <w:pPr>
        <w:pStyle w:val="Heading2"/>
        <w:spacing w:after="100" w:before="280"/>
      </w:pPr>
      <w:r>
        <w:rPr>
          <w:rFonts w:ascii="Arial" w:cs="Arial" w:eastAsia="Arial" w:hAnsi="Arial"/>
          <w:b/>
          <w:bCs/>
          <w:color w:val="8B1A1A"/>
        </w:rPr>
        <w:t xml:space="preserve">Secret-Management</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8B1A1A" w:val="clear"/>
            <w:tcMar>
              <w:top w:type="dxa" w:w="80"/>
              <w:left w:type="dxa" w:w="160"/>
              <w:bottom w:type="dxa" w:w="80"/>
              <w:right w:type="dxa" w:w="160"/>
            </w:tcMar>
          </w:tcPr>
          <w:p>
            <w:r>
              <w:rPr>
                <w:rFonts w:ascii="Arial" w:cs="Arial" w:eastAsia="Arial" w:hAnsi="Arial"/>
                <w:b/>
                <w:bCs/>
                <w:color w:val="FFFFFF"/>
                <w:sz w:val="22"/>
                <w:szCs w:val="22"/>
              </w:rPr>
              <w:t xml:space="preserve">HashiCorp Vault — Secret-Hierarchie</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secret/tenants/{tenant-id}/llm-keys: API-Keys für Anthropic/Mistral — AES-256 verschlüsselt, 90-Tage-Rotation</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secret/tenants/{tenant-id}/channel-tokens: WhatsApp/Telegram/Slack-Tokens — mandantenspezifisch isoliert</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secret/nextgen/infra: Hetzner API-Keys, PostgreSQL-Root-Credentials, S3-Access-Keys</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pki/: Vault PKI für interne TLS-Zertifikate (mTLS zwischen Services)</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auth/kubernetes: Kubernetes-Auth-Backend — Pods erhalten nur ihre eigenen Secrets (kein Cross-Tenant-Zugriff)</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Rotation: Automatische Secret-Rotation alle 90 Tage via Vault Agent Sidecar</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Audit: Jeder Secret-Zugriff wird in Vault Audit-Log geschrieben — unveränderlich, in S3 archiviert</w:t>
            </w:r>
          </w:p>
        </w:tc>
      </w:tr>
    </w:tbl>
    <w:p>
      <w:pPr>
        <w:spacing w:after="0" w:before="80"/>
      </w:pPr>
    </w:p>
    <w:p>
      <w:pPr>
        <w:pStyle w:val="Heading2"/>
        <w:spacing w:after="100" w:before="280"/>
      </w:pPr>
      <w:r>
        <w:rPr>
          <w:rFonts w:ascii="Arial" w:cs="Arial" w:eastAsia="Arial" w:hAnsi="Arial"/>
          <w:b/>
          <w:bCs/>
          <w:color w:val="8B1A1A"/>
        </w:rPr>
        <w:t xml:space="preserve">Zertifizierungen &amp; Compliance-Nachweise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626"/>
        <w:gridCol w:w="3400"/>
      </w:tblGrid>
      <w:tr>
        <w:tc>
          <w:tcPr>
            <w:tcW w:type="dxa" w:w="22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Standard</w:t>
            </w:r>
          </w:p>
        </w:tc>
        <w:tc>
          <w:tcPr>
            <w:tcW w:type="dxa" w:w="18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Status</w:t>
            </w:r>
          </w:p>
        </w:tc>
        <w:tc>
          <w:tcPr>
            <w:tcW w:type="dxa" w:w="1626"/>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Gültig bis</w:t>
            </w:r>
          </w:p>
        </w:tc>
        <w:tc>
          <w:tcPr>
            <w:tcW w:type="dxa" w:w="34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Scope</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 IT-Grundschutz</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In Umsetzung (2026)</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laufend</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Bausteine: SYS.1.6, OPS.1.1.5, NET.1.1, ORP.4, CON.2, DER.2.1</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ISO 27001</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ISMS-Aufbau 2026, Zertifizierung Q4 2026</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 Jahre</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Scope: OpenClaw Enterprise Managed Service, Hetzner-Infrastruktur</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BDSG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Erfüllt (AVV, TOM, DSFA)</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laufend</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Alle personenbezogenen Daten, Subauftragsverarbeiter-Kette</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Penetrationstest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Jährlich (BSI-zertifizierter Tester)</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Jahr</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Netzwerk, Applikation, API, Social Engineering</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Trivy-Scanning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Wöchentlich automatisch</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laufend</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Alle Container-Images, npm-Abhängigkeiten</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ISO 27001</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Ausgestellt (Hetzner)</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aktuell</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Physische Sicherheit, Rechenzentrumsinfrastruktur</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534AB7"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L3</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534AB7"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Netzwerk-Schicht</w:t>
            </w:r>
          </w:p>
          <w:p>
            <w:r>
              <w:rPr>
                <w:rFonts w:ascii="Arial" w:cs="Arial" w:eastAsia="Arial" w:hAnsi="Arial"/>
                <w:i/>
                <w:iCs/>
                <w:color w:val="FFFFFF"/>
                <w:sz w:val="22"/>
                <w:szCs w:val="22"/>
              </w:rPr>
              <w:t xml:space="preserve">Traefik v3 · CoreDNS · NetworkPolicies · Rate-Limiting</w:t>
            </w:r>
          </w:p>
        </w:tc>
      </w:tr>
    </w:tbl>
    <w:p>
      <w:pPr>
        <w:pageBreakBefore/>
      </w:pPr>
    </w:p>
    <w:p>
      <w:pPr>
        <w:pStyle w:val="Heading1"/>
        <w:spacing w:after="200" w:before="480"/>
      </w:pPr>
      <w:r>
        <w:rPr>
          <w:rFonts w:ascii="Arial" w:cs="Arial" w:eastAsia="Arial" w:hAnsi="Arial"/>
          <w:b/>
          <w:bCs/>
          <w:color w:val="1B3A5C"/>
        </w:rPr>
        <w:t xml:space="preserve">L3 — Netzwerk-Schicht</w:t>
      </w:r>
    </w:p>
    <w:p>
      <w:pPr>
        <w:spacing w:before="160" w:after="80"/>
      </w:pPr>
    </w:p>
    <w:p>
      <w:pPr>
        <w:spacing w:before="80" w:after="40"/>
        <w:jc w:val="center"/>
      </w:pPr>
      <w:r>
        <w:drawing>
          <wp:inline xmlns:a="http://schemas.openxmlformats.org/drawingml/2006/main" xmlns:pic="http://schemas.openxmlformats.org/drawingml/2006/picture">
            <wp:extent cx="5760720" cy="1058956"/>
            <wp:docPr id="5" name="Picture 5"/>
            <wp:cNvGraphicFramePr>
              <a:graphicFrameLocks noChangeAspect="1"/>
            </wp:cNvGraphicFramePr>
            <a:graphic>
              <a:graphicData uri="http://schemas.openxmlformats.org/drawingml/2006/picture">
                <pic:pic>
                  <pic:nvPicPr>
                    <pic:cNvPr id="0" name="l3a_traefik.png"/>
                    <pic:cNvPicPr/>
                  </pic:nvPicPr>
                  <pic:blipFill>
                    <a:blip r:embed="rId14"/>
                    <a:stretch>
                      <a:fillRect/>
                    </a:stretch>
                  </pic:blipFill>
                  <pic:spPr>
                    <a:xfrm>
                      <a:off x="0" y="0"/>
                      <a:ext cx="5760720" cy="1058956"/>
                    </a:xfrm>
                    <a:prstGeom prst="rect"/>
                  </pic:spPr>
                </pic:pic>
              </a:graphicData>
            </a:graphic>
          </wp:inline>
        </w:drawing>
      </w:r>
    </w:p>
    <w:p>
      <w:pPr>
        <w:spacing w:before="40" w:after="280"/>
        <w:jc w:val="center"/>
      </w:pPr>
      <w:r>
        <w:rPr>
          <w:i/>
          <w:color w:val="8898AA"/>
          <w:sz w:val="18"/>
        </w:rPr>
        <w:t>Abb. 5: L3 — Traefik v3 Request-Routing und Middleware-Chain</w:t>
      </w:r>
    </w:p>
    <w:p>
      <w:pPr>
        <w:pBdr>
          <w:bottom w:val="single" w:color="534AB7"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Traefik v3 dient als zentraler Ingress-Controller und Reverse Proxy im k3s-Cluster. Er terminiert TLS, führt URL-Routing durch, erzwingt Rate-Limits und leitet Traffic an die richtigen Mandanten-Namespaces weiter. CoreDNS im Cluster übernimmt die interne Service-Discovery.</w:t>
      </w:r>
    </w:p>
    <w:p>
      <w:pPr>
        <w:spacing w:after="0" w:before="80"/>
      </w:pPr>
    </w:p>
    <w:p>
      <w:pPr>
        <w:pStyle w:val="Heading2"/>
        <w:spacing w:after="100" w:before="280"/>
      </w:pPr>
      <w:r>
        <w:rPr>
          <w:rFonts w:ascii="Arial" w:cs="Arial" w:eastAsia="Arial" w:hAnsi="Arial"/>
          <w:b/>
          <w:bCs/>
          <w:color w:val="534AB7"/>
        </w:rPr>
        <w:t xml:space="preserve">Traefik v3 — Konfiguration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534AB7" w:val="clear"/>
            <w:tcMar>
              <w:top w:type="dxa" w:w="80"/>
              <w:left w:type="dxa" w:w="160"/>
              <w:bottom w:type="dxa" w:w="80"/>
              <w:right w:type="dxa" w:w="160"/>
            </w:tcMar>
          </w:tcPr>
          <w:p>
            <w:r>
              <w:rPr>
                <w:rFonts w:ascii="Arial" w:cs="Arial" w:eastAsia="Arial" w:hAnsi="Arial"/>
                <w:b/>
                <w:bCs/>
                <w:color w:val="FFFFFF"/>
                <w:sz w:val="22"/>
                <w:szCs w:val="22"/>
              </w:rPr>
              <w:t xml:space="preserve">Traefik-Middlewares im Produktionseinsatz</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ratelimit-starter: 20 Requests/Minute je IP (Token-Bucket) — für Starter-Paket-Mandanten</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ratelimit-professional: 60 Requests/Minute je IP — für Professional-Paket</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ratelimit-enterprise: 200 Requests/Minute je IP — für Enterprise-Paket</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security-headers: X-Frame-Options: DENY, X-Content-Type-Options: nosniff, Referrer-Policy: strict-origin, CSP-Header</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compress: gzip/brotli-Kompression für alle Responses &gt; 1 KB</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circuit-breaker: Öffnet bei &gt; 30% Fehlerrate in 10s-Fenster — schützt Backend vor Überlastung</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auth-forward: Leitet Auth-Headers an NextAuth-Service weiter — API-Key-Validierung für externe Clients</w:t>
            </w:r>
          </w:p>
        </w:tc>
      </w:tr>
    </w:tbl>
    <w:p>
      <w:pPr>
        <w:spacing w:after="0" w:before="80"/>
      </w:pPr>
    </w:p>
    <w:p>
      <w:pPr>
        <w:pStyle w:val="Heading2"/>
        <w:spacing w:after="100" w:before="280"/>
      </w:pPr>
      <w:r>
        <w:rPr>
          <w:rFonts w:ascii="Arial" w:cs="Arial" w:eastAsia="Arial" w:hAnsi="Arial"/>
          <w:b/>
          <w:bCs/>
          <w:color w:val="534AB7"/>
        </w:rPr>
        <w:t xml:space="preserve">Routing-Schema</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026"/>
        <w:gridCol w:w="1800"/>
        <w:gridCol w:w="2600"/>
      </w:tblGrid>
      <w:tr>
        <w:tc>
          <w:tcPr>
            <w:tcW w:type="dxa" w:w="2600"/>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Host/Path</w:t>
            </w:r>
          </w:p>
        </w:tc>
        <w:tc>
          <w:tcPr>
            <w:tcW w:type="dxa" w:w="2026"/>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Service</w:t>
            </w:r>
          </w:p>
        </w:tc>
        <w:tc>
          <w:tcPr>
            <w:tcW w:type="dxa" w:w="1800"/>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Middleware</w:t>
            </w:r>
          </w:p>
        </w:tc>
        <w:tc>
          <w:tcPr>
            <w:tcW w:type="dxa" w:w="2600"/>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Ziel-Namespace</w:t>
            </w:r>
          </w:p>
        </w:tc>
      </w:tr>
      <w:tr>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portal.openclaw.app</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Portal (Next.js)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security-headers + compress</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nextgen-portal</w:t>
            </w:r>
          </w:p>
        </w:tc>
      </w:tr>
      <w:tr>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api.openclaw.app/v1/*</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API-Server (tRPC)</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ratelimit + auth-forward</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nextgen-api</w:t>
            </w:r>
          </w:p>
        </w:tc>
      </w:tr>
      <w:tr>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{tenant}.openclaw.app/chat</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OpenClaw Gateway</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ratelimit-{paket} + circuit-breaker</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tenant-{id}</w:t>
            </w:r>
          </w:p>
        </w:tc>
      </w:tr>
      <w:tr>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webhooks.openclaw.app/whatsapp</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Webhook-Handler</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hmac-validate</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nextgen-webhooks</w:t>
            </w:r>
          </w:p>
        </w:tc>
      </w:tr>
      <w:tr>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webhooks.openclaw.app/teams</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Teams-Bot Endpoint</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bearer-validate</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nextgen-webhooks</w:t>
            </w:r>
          </w:p>
        </w:tc>
      </w:tr>
      <w:tr>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monitoring.openclaw.app</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Grafana (intern)</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ip-whitelist + basic-auth</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nextgen-monitoring</w:t>
            </w:r>
          </w:p>
        </w:tc>
      </w:tr>
    </w:tbl>
    <w:p>
      <w:pPr>
        <w:spacing w:after="0" w:before="80"/>
      </w:pPr>
    </w:p>
    <w:p>
      <w:pPr>
        <w:pStyle w:val="Heading2"/>
        <w:spacing w:after="100" w:before="280"/>
      </w:pPr>
      <w:r>
        <w:rPr>
          <w:rFonts w:ascii="Arial" w:cs="Arial" w:eastAsia="Arial" w:hAnsi="Arial"/>
          <w:b/>
          <w:bCs/>
          <w:color w:val="534AB7"/>
        </w:rPr>
        <w:t xml:space="preserve">NetworkPolicies — Mandantenisolation</w:t>
      </w:r>
    </w:p>
    <w:p>
      <w:pPr>
        <w:spacing w:before="160" w:after="80"/>
      </w:pPr>
    </w:p>
    <w:p>
      <w:pPr>
        <w:spacing w:before="80" w:after="40"/>
        <w:jc w:val="center"/>
      </w:pPr>
      <w:r>
        <w:drawing>
          <wp:inline xmlns:a="http://schemas.openxmlformats.org/drawingml/2006/main" xmlns:pic="http://schemas.openxmlformats.org/drawingml/2006/picture">
            <wp:extent cx="5760720" cy="2202628"/>
            <wp:docPr id="6" name="Picture 6"/>
            <wp:cNvGraphicFramePr>
              <a:graphicFrameLocks noChangeAspect="1"/>
            </wp:cNvGraphicFramePr>
            <a:graphic>
              <a:graphicData uri="http://schemas.openxmlformats.org/drawingml/2006/picture">
                <pic:pic>
                  <pic:nvPicPr>
                    <pic:cNvPr id="0" name="l3b_isolation.png"/>
                    <pic:cNvPicPr/>
                  </pic:nvPicPr>
                  <pic:blipFill>
                    <a:blip r:embed="rId15"/>
                    <a:stretch>
                      <a:fillRect/>
                    </a:stretch>
                  </pic:blipFill>
                  <pic:spPr>
                    <a:xfrm>
                      <a:off x="0" y="0"/>
                      <a:ext cx="5760720" cy="2202628"/>
                    </a:xfrm>
                    <a:prstGeom prst="rect"/>
                  </pic:spPr>
                </pic:pic>
              </a:graphicData>
            </a:graphic>
          </wp:inline>
        </w:drawing>
      </w:r>
    </w:p>
    <w:p>
      <w:pPr>
        <w:spacing w:before="40" w:after="280"/>
        <w:jc w:val="center"/>
      </w:pPr>
      <w:r>
        <w:rPr>
          <w:i/>
          <w:color w:val="8898AA"/>
          <w:sz w:val="18"/>
        </w:rPr>
        <w:t>Abb. 6: L3 — k3s Namespace-Isolation mit NetworkPolicy Default-Deny</w:t>
      </w:r>
    </w:p>
    <w:p>
      <w:pPr>
        <w:pStyle w:val="ListParagraph"/>
        <w:numPr>
          <w:ilvl w:val="0"/>
          <w:numId w:val="2"/>
        </w:numPr>
        <w:spacing w:after="40" w:before="40"/>
      </w:pPr>
      <w:r>
        <w:rPr>
          <w:rFonts w:ascii="Arial" w:cs="Arial" w:eastAsia="Arial" w:hAnsi="Arial"/>
          <w:color w:val="333F52"/>
          <w:sz w:val="22"/>
          <w:szCs w:val="22"/>
        </w:rPr>
        <w:t xml:space="preserve">Default-Deny-All: Jeder neue Namespace erhält sofort eine Default-Deny-All NetworkPolicy — kein Traffic möglich bis explizit erlaubt</w:t>
      </w:r>
    </w:p>
    <w:p>
      <w:pPr>
        <w:pStyle w:val="ListParagraph"/>
        <w:numPr>
          <w:ilvl w:val="0"/>
          <w:numId w:val="2"/>
        </w:numPr>
        <w:spacing w:after="40" w:before="40"/>
      </w:pPr>
      <w:r>
        <w:rPr>
          <w:rFonts w:ascii="Arial" w:cs="Arial" w:eastAsia="Arial" w:hAnsi="Arial"/>
          <w:color w:val="333F52"/>
          <w:sz w:val="22"/>
          <w:szCs w:val="22"/>
        </w:rPr>
        <w:t xml:space="preserve">Ingress-Allow: Nur Traffic vom Traefik-Namespace (Port 8080) ist erlaubt — kein direkter Pod-zu-Pod-Traffic aus anderen Namespaces</w:t>
      </w:r>
    </w:p>
    <w:p>
      <w:pPr>
        <w:pStyle w:val="ListParagraph"/>
        <w:numPr>
          <w:ilvl w:val="0"/>
          <w:numId w:val="2"/>
        </w:numPr>
        <w:spacing w:after="40" w:before="40"/>
      </w:pPr>
      <w:r>
        <w:rPr>
          <w:rFonts w:ascii="Arial" w:cs="Arial" w:eastAsia="Arial" w:hAnsi="Arial"/>
          <w:color w:val="333F52"/>
          <w:sz w:val="22"/>
          <w:szCs w:val="22"/>
        </w:rPr>
        <w:t xml:space="preserve">Egress-Allow: Pods dürfen nur zum DNS-Service (CoreDNS Port 53), zur PostgreSQL-IP (Port 5432) und zu LLM-Endpoints (HTTPS Port 443) kommunizieren</w:t>
      </w:r>
    </w:p>
    <w:p>
      <w:pPr>
        <w:pStyle w:val="ListParagraph"/>
        <w:numPr>
          <w:ilvl w:val="0"/>
          <w:numId w:val="2"/>
        </w:numPr>
        <w:spacing w:after="40" w:before="40"/>
      </w:pPr>
      <w:r>
        <w:rPr>
          <w:rFonts w:ascii="Arial" w:cs="Arial" w:eastAsia="Arial" w:hAnsi="Arial"/>
          <w:color w:val="333F52"/>
          <w:sz w:val="22"/>
          <w:szCs w:val="22"/>
        </w:rPr>
        <w:t xml:space="preserve">Kein Cross-Tenant-Traffic: NetworkPolicies verhindern technisch jede Kommunikation zwischen Mandanten-Namespaces — nicht nur durch Naming-Konventionen</w:t>
      </w:r>
    </w:p>
    <w:p>
      <w:pPr>
        <w:pStyle w:val="ListParagraph"/>
        <w:numPr>
          <w:ilvl w:val="0"/>
          <w:numId w:val="2"/>
        </w:numPr>
        <w:spacing w:after="40" w:before="40"/>
      </w:pPr>
      <w:r>
        <w:rPr>
          <w:rFonts w:ascii="Arial" w:cs="Arial" w:eastAsia="Arial" w:hAnsi="Arial"/>
          <w:color w:val="333F52"/>
          <w:sz w:val="22"/>
          <w:szCs w:val="22"/>
        </w:rPr>
        <w:t xml:space="preserve">Monitoring-Ausnahme: Prometheus-Scraping von Port 9090 ist aus dem Monitoring-Namespace erlaubt — einzige mandanten-übergreifende Verbindung</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854F0B"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L4</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854F0B"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Applikations-Schicht</w:t>
            </w:r>
          </w:p>
          <w:p>
            <w:r>
              <w:rPr>
                <w:rFonts w:ascii="Arial" w:cs="Arial" w:eastAsia="Arial" w:hAnsi="Arial"/>
                <w:i/>
                <w:iCs/>
                <w:color w:val="FFFFFF"/>
                <w:sz w:val="22"/>
                <w:szCs w:val="22"/>
              </w:rPr>
              <w:t xml:space="preserve">OpenClaw Gateway · Pi-Agent · Skills · BullMQ · Pipeline</w:t>
            </w:r>
          </w:p>
        </w:tc>
      </w:tr>
    </w:tbl>
    <w:p>
      <w:pPr>
        <w:pageBreakBefore/>
      </w:pPr>
    </w:p>
    <w:p>
      <w:pPr>
        <w:pStyle w:val="Heading1"/>
        <w:spacing w:after="200" w:before="480"/>
      </w:pPr>
      <w:r>
        <w:rPr>
          <w:rFonts w:ascii="Arial" w:cs="Arial" w:eastAsia="Arial" w:hAnsi="Arial"/>
          <w:b/>
          <w:bCs/>
          <w:color w:val="1B3A5C"/>
        </w:rPr>
        <w:t xml:space="preserve">L4 — Applikations-Schicht</w:t>
      </w:r>
    </w:p>
    <w:p>
      <w:pPr>
        <w:spacing w:before="160" w:after="80"/>
      </w:pPr>
    </w:p>
    <w:p>
      <w:pPr>
        <w:spacing w:before="80" w:after="40"/>
        <w:jc w:val="center"/>
      </w:pPr>
      <w:r>
        <w:drawing>
          <wp:inline xmlns:a="http://schemas.openxmlformats.org/drawingml/2006/main" xmlns:pic="http://schemas.openxmlformats.org/drawingml/2006/picture">
            <wp:extent cx="5760720" cy="1016598"/>
            <wp:docPr id="7" name="Picture 7"/>
            <wp:cNvGraphicFramePr>
              <a:graphicFrameLocks noChangeAspect="1"/>
            </wp:cNvGraphicFramePr>
            <a:graphic>
              <a:graphicData uri="http://schemas.openxmlformats.org/drawingml/2006/picture">
                <pic:pic>
                  <pic:nvPicPr>
                    <pic:cNvPr id="0" name="l4_pipeline.png"/>
                    <pic:cNvPicPr/>
                  </pic:nvPicPr>
                  <pic:blipFill>
                    <a:blip r:embed="rId16"/>
                    <a:stretch>
                      <a:fillRect/>
                    </a:stretch>
                  </pic:blipFill>
                  <pic:spPr>
                    <a:xfrm>
                      <a:off x="0" y="0"/>
                      <a:ext cx="5760720" cy="1016598"/>
                    </a:xfrm>
                    <a:prstGeom prst="rect"/>
                  </pic:spPr>
                </pic:pic>
              </a:graphicData>
            </a:graphic>
          </wp:inline>
        </w:drawing>
      </w:r>
    </w:p>
    <w:p>
      <w:pPr>
        <w:spacing w:before="40" w:after="280"/>
        <w:jc w:val="center"/>
      </w:pPr>
      <w:r>
        <w:rPr>
          <w:i/>
          <w:color w:val="8898AA"/>
          <w:sz w:val="18"/>
        </w:rPr>
        <w:t>Abb. 7: L4 — 9-stufige Message-Verarbeitungs-Pipeline</w:t>
      </w:r>
    </w:p>
    <w:p>
      <w:pPr>
        <w:pBdr>
          <w:bottom w:val="single" w:color="854F0B"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Das Herzstück von OpenClaw Enterprise ist das Gateway mit der Pi-Agent-Runtime. Alle eingehenden Nachrichten werden hier empfangen, validiert, an das LLM-Backend weitergeleitet und die Antworten über den ursprünglichen Kanal zurückgesendet. Die Verarbeitung ist vollständig asynchron über BullMQ.</w:t>
      </w:r>
    </w:p>
    <w:p>
      <w:pPr>
        <w:spacing w:after="0" w:before="80"/>
      </w:pPr>
    </w:p>
    <w:p>
      <w:pPr>
        <w:pStyle w:val="Heading2"/>
        <w:spacing w:after="100" w:before="280"/>
      </w:pPr>
      <w:r>
        <w:rPr>
          <w:rFonts w:ascii="Arial" w:cs="Arial" w:eastAsia="Arial" w:hAnsi="Arial"/>
          <w:b/>
          <w:bCs/>
          <w:color w:val="854F0B"/>
        </w:rPr>
        <w:t xml:space="preserve">OpenClaw Gateway — Komponenten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026"/>
        <w:gridCol w:w="4800"/>
      </w:tblGrid>
      <w:tr>
        <w:tc>
          <w:tcPr>
            <w:tcW w:type="dxa" w:w="22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Komponente</w:t>
            </w:r>
          </w:p>
        </w:tc>
        <w:tc>
          <w:tcPr>
            <w:tcW w:type="dxa" w:w="2026"/>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Technologie</w:t>
            </w:r>
          </w:p>
        </w:tc>
        <w:tc>
          <w:tcPr>
            <w:tcW w:type="dxa" w:w="48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Funktion</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WebSocket-Server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Node.js ws (Port 18789)</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Persistente Verbindung zu Pi-Agent-Nodes, Echtzeit-Bidirektional-Kommunikation</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HTTP-API-Server</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Express.js (Port 3000)</w:t>
            </w:r>
          </w:p>
        </w:tc>
        <w:tc>
          <w:tcPr>
            <w:tcW w:type="dxa" w:w="4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REST-Endpunkte für Channel-Webhooks, Health-Check, Admin-API</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Channel-Manager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Node.js EventEmitter</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Verwaltet alle aktiven Kanal-Verbindungen, Reconnect-Logik, Status-Tracking</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Message-Router</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Custom Router</w:t>
            </w:r>
          </w:p>
        </w:tc>
        <w:tc>
          <w:tcPr>
            <w:tcW w:type="dxa" w:w="4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Ordnet eingehende Nachrichten dem richtigen Pi-Agent-Context zu</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Job-Queue-Producer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BullMQ Producer</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Stellt eingehende Nachrichten in Queue — garantierte Verarbeitung auch bei Peaks</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Response-Dispatcher</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BullMQ Consumer</w:t>
            </w:r>
          </w:p>
        </w:tc>
        <w:tc>
          <w:tcPr>
            <w:tcW w:type="dxa" w:w="4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Empfängt LLM-Antworten, sendet über ursprünglichen Kanal zurück</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Session-Manager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Redis (TTL: 24h)</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Konversations-Kontext je Nutzer, Kanal und Tenant — sliding window</w:t>
            </w:r>
          </w:p>
        </w:tc>
      </w:tr>
    </w:tbl>
    <w:p>
      <w:pPr>
        <w:spacing w:after="0" w:before="80"/>
      </w:pPr>
    </w:p>
    <w:p>
      <w:pPr>
        <w:pStyle w:val="Heading2"/>
        <w:spacing w:after="100" w:before="280"/>
      </w:pPr>
      <w:r>
        <w:rPr>
          <w:rFonts w:ascii="Arial" w:cs="Arial" w:eastAsia="Arial" w:hAnsi="Arial"/>
          <w:b/>
          <w:bCs/>
          <w:color w:val="854F0B"/>
        </w:rPr>
        <w:t xml:space="preserve">Message-Verarbeitungs-Pipeline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200"/>
        <w:gridCol w:w="2826"/>
        <w:gridCol w:w="3300"/>
      </w:tblGrid>
      <w:tr>
        <w:tc>
          <w:tcPr>
            <w:tcW w:type="dxa" w:w="7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Schritt</w:t>
            </w:r>
          </w:p>
        </w:tc>
        <w:tc>
          <w:tcPr>
            <w:tcW w:type="dxa" w:w="22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Phase</w:t>
            </w:r>
          </w:p>
        </w:tc>
        <w:tc>
          <w:tcPr>
            <w:tcW w:type="dxa" w:w="2826"/>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Technologie</w:t>
            </w:r>
          </w:p>
        </w:tc>
        <w:tc>
          <w:tcPr>
            <w:tcW w:type="dxa" w:w="33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Details</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1</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Empfang</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WhatsApp/Teams/Telegram Webhook</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Eingehende Nachricht, HMAC-Signatur-Validierung</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2</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Normalisierung</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Channel-Adapter</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Einheitliches Message-Format: {tenantId, userId, channel, text, media?, timestamp}</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3</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Input-Sanitization</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Prompt-Guard Middleware</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Injection-Pattern-Erkennung, PII-Detektion, Längen-Limit</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4</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Context-Assembly</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Redis Session-Lookup</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Konversations-History (letzte N Turns), User-Profile, Tenant-Config</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5</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LLM-Dispatch</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callLLM() Factory</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Modell-Routing, Prompt-Caching, Streaming-Start</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6</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Output-Filtering</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Content-Filter</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Verbotene Inhalte, PII-Leakage, Halluzinations-Warnung</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7</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Response-Delivery</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Channel-Dispatcher</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Kanal-spezifische Formatierung, WhatsApp-Markdown, Teams-Adaptive-Cards</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8</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Token-Tracking</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Writer</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Input/Output-Tokens, Kosten, Latenz — je Nachricht geloggt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9</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Context-Update</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Redis Session-Write</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Konversations-History aktualisieren, TTL verlängern</w:t>
            </w:r>
          </w:p>
        </w:tc>
      </w:tr>
    </w:tbl>
    <w:p>
      <w:pPr>
        <w:spacing w:after="0" w:before="80"/>
      </w:pPr>
    </w:p>
    <w:p>
      <w:pPr>
        <w:pStyle w:val="Heading2"/>
        <w:spacing w:after="100" w:before="280"/>
      </w:pPr>
      <w:r>
        <w:rPr>
          <w:rFonts w:ascii="Arial" w:cs="Arial" w:eastAsia="Arial" w:hAnsi="Arial"/>
          <w:b/>
          <w:bCs/>
          <w:color w:val="854F0B"/>
        </w:rPr>
        <w:t xml:space="preserve">Skills-System (ClawHub)</w:t>
      </w:r>
    </w:p>
    <w:p>
      <w:pPr>
        <w:pStyle w:val="ListParagraph"/>
        <w:numPr>
          <w:ilvl w:val="0"/>
          <w:numId w:val="2"/>
        </w:numPr>
        <w:spacing w:after="40" w:before="40"/>
      </w:pPr>
      <w:r>
        <w:rPr>
          <w:rFonts w:ascii="Arial" w:cs="Arial" w:eastAsia="Arial" w:hAnsi="Arial"/>
          <w:color w:val="333F52"/>
          <w:sz w:val="22"/>
          <w:szCs w:val="22"/>
        </w:rPr>
        <w:t xml:space="preserve">Skills sind Node.js-Module die dem Assistenten Werkzeuge geben: Web-Search, Code-Execution, File-Management, Calendar, E-Mail, Browser-Automation</w:t>
      </w:r>
    </w:p>
    <w:p>
      <w:pPr>
        <w:pStyle w:val="ListParagraph"/>
        <w:numPr>
          <w:ilvl w:val="0"/>
          <w:numId w:val="2"/>
        </w:numPr>
        <w:spacing w:after="40" w:before="40"/>
      </w:pPr>
      <w:r>
        <w:rPr>
          <w:rFonts w:ascii="Arial" w:cs="Arial" w:eastAsia="Arial" w:hAnsi="Arial"/>
          <w:color w:val="333F52"/>
          <w:sz w:val="22"/>
          <w:szCs w:val="22"/>
        </w:rPr>
        <w:t xml:space="preserve">Tool-Allowlist: Je Mandant konfigurierbare Liste erlaubter Skills — Starter hat nur Web-Search und Calendar, Enterprise hat alle</w:t>
      </w:r>
    </w:p>
    <w:p>
      <w:pPr>
        <w:pStyle w:val="ListParagraph"/>
        <w:numPr>
          <w:ilvl w:val="0"/>
          <w:numId w:val="2"/>
        </w:numPr>
        <w:spacing w:after="40" w:before="40"/>
      </w:pPr>
      <w:r>
        <w:rPr>
          <w:rFonts w:ascii="Arial" w:cs="Arial" w:eastAsia="Arial" w:hAnsi="Arial"/>
          <w:color w:val="333F52"/>
          <w:sz w:val="22"/>
          <w:szCs w:val="22"/>
        </w:rPr>
        <w:t xml:space="preserve">Sandbox-Execution: Alle Skill-Ausführungen laufen in isolierten Docker-Containern (gVisor-Runtime) ohne Netzwerkzugriff</w:t>
      </w:r>
    </w:p>
    <w:p>
      <w:pPr>
        <w:pStyle w:val="ListParagraph"/>
        <w:numPr>
          <w:ilvl w:val="0"/>
          <w:numId w:val="2"/>
        </w:numPr>
        <w:spacing w:after="40" w:before="40"/>
      </w:pPr>
      <w:r>
        <w:rPr>
          <w:rFonts w:ascii="Arial" w:cs="Arial" w:eastAsia="Arial" w:hAnsi="Arial"/>
          <w:color w:val="333F52"/>
          <w:sz w:val="22"/>
          <w:szCs w:val="22"/>
        </w:rPr>
        <w:t xml:space="preserve">Tool-Denylist: Spezifische Tools können mandantenübergreifend deaktiviert werden (z.B. Code-Execution für regulierte Branchen)</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0C447C"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L5</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0C447C"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KI &amp; LLM-Schicht</w:t>
            </w:r>
          </w:p>
          <w:p>
            <w:r>
              <w:rPr>
                <w:rFonts w:ascii="Arial" w:cs="Arial" w:eastAsia="Arial" w:hAnsi="Arial"/>
                <w:i/>
                <w:iCs/>
                <w:color w:val="FFFFFF"/>
                <w:sz w:val="22"/>
                <w:szCs w:val="22"/>
              </w:rPr>
              <w:t xml:space="preserve">callLLM() Factory · Bedrock EU · Mistral · Ollama · Aleph Alpha</w:t>
            </w:r>
          </w:p>
        </w:tc>
      </w:tr>
    </w:tbl>
    <w:p>
      <w:pPr>
        <w:pageBreakBefore/>
      </w:pPr>
    </w:p>
    <w:p>
      <w:pPr>
        <w:pStyle w:val="Heading1"/>
        <w:spacing w:after="200" w:before="480"/>
      </w:pPr>
      <w:r>
        <w:rPr>
          <w:rFonts w:ascii="Arial" w:cs="Arial" w:eastAsia="Arial" w:hAnsi="Arial"/>
          <w:b/>
          <w:bCs/>
          <w:color w:val="1B3A5C"/>
        </w:rPr>
        <w:t xml:space="preserve">L5 — KI &amp; LLM-Schicht</w:t>
      </w:r>
    </w:p>
    <w:p>
      <w:pPr>
        <w:spacing w:before="160" w:after="80"/>
      </w:pPr>
    </w:p>
    <w:p>
      <w:pPr>
        <w:spacing w:before="80" w:after="40"/>
        <w:jc w:val="center"/>
      </w:pPr>
      <w:r>
        <w:drawing>
          <wp:inline xmlns:a="http://schemas.openxmlformats.org/drawingml/2006/main" xmlns:pic="http://schemas.openxmlformats.org/drawingml/2006/picture">
            <wp:extent cx="5760720" cy="2456778"/>
            <wp:docPr id="8" name="Picture 8"/>
            <wp:cNvGraphicFramePr>
              <a:graphicFrameLocks noChangeAspect="1"/>
            </wp:cNvGraphicFramePr>
            <a:graphic>
              <a:graphicData uri="http://schemas.openxmlformats.org/drawingml/2006/picture">
                <pic:pic>
                  <pic:nvPicPr>
                    <pic:cNvPr id="0" name="l5_llm_routing.png"/>
                    <pic:cNvPicPr/>
                  </pic:nvPicPr>
                  <pic:blipFill>
                    <a:blip r:embed="rId17"/>
                    <a:stretch>
                      <a:fillRect/>
                    </a:stretch>
                  </pic:blipFill>
                  <pic:spPr>
                    <a:xfrm>
                      <a:off x="0" y="0"/>
                      <a:ext cx="5760720" cy="2456778"/>
                    </a:xfrm>
                    <a:prstGeom prst="rect"/>
                  </pic:spPr>
                </pic:pic>
              </a:graphicData>
            </a:graphic>
          </wp:inline>
        </w:drawing>
      </w:r>
    </w:p>
    <w:p>
      <w:pPr>
        <w:spacing w:before="40" w:after="280"/>
        <w:jc w:val="center"/>
      </w:pPr>
      <w:r>
        <w:rPr>
          <w:i/>
          <w:color w:val="8898AA"/>
          <w:sz w:val="18"/>
        </w:rPr>
        <w:t>Abb. 8: L5 — callLLM() Provider-Routing mit Fallback-Logik</w:t>
      </w:r>
    </w:p>
    <w:p>
      <w:pPr>
        <w:pBdr>
          <w:bottom w:val="single" w:color="0C447C"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KI-Schicht abstrahiert alle LLM-Anbieter hinter einem einheitlichen callLLM()-Interface. Das Routing erfolgt automatisch basierend auf Datenschutzstufe, Mandanten-Konfiguration und Verfügbarkeit der Provider. Prompt-Caching reduziert API-Kosten um bis zu 90%.</w:t>
      </w:r>
    </w:p>
    <w:p>
      <w:pPr>
        <w:spacing w:after="0" w:before="80"/>
      </w:pPr>
    </w:p>
    <w:p>
      <w:pPr>
        <w:pStyle w:val="Heading2"/>
        <w:spacing w:after="100" w:before="280"/>
      </w:pPr>
      <w:r>
        <w:rPr>
          <w:rFonts w:ascii="Arial" w:cs="Arial" w:eastAsia="Arial" w:hAnsi="Arial"/>
          <w:b/>
          <w:bCs/>
          <w:color w:val="0C447C"/>
        </w:rPr>
        <w:t xml:space="preserve">callLLM() Factory — Technische Spezifikation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0C447C" w:val="clear"/>
            <w:tcMar>
              <w:top w:type="dxa" w:w="80"/>
              <w:left w:type="dxa" w:w="160"/>
              <w:bottom w:type="dxa" w:w="80"/>
              <w:right w:type="dxa" w:w="160"/>
            </w:tcMar>
          </w:tcPr>
          <w:p>
            <w:r>
              <w:rPr>
                <w:rFonts w:ascii="Arial" w:cs="Arial" w:eastAsia="Arial" w:hAnsi="Arial"/>
                <w:b/>
                <w:bCs/>
                <w:color w:val="FFFFFF"/>
                <w:sz w:val="22"/>
                <w:szCs w:val="22"/>
              </w:rPr>
              <w:t xml:space="preserve">callLLM() Interface und Routing-Logik</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Interface: callLLM({ messages[], model, tenantId, stream, cache }) → AsyncIterable&lt;Token&gt; | Promise&lt;Message&gt;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Routing-Reihenfolge: 1. Prüfe Tenant-Tier (Standard/EU-Regulated/Sovereign) → 2. Wähle Provider → 3. Prüfe Verfügbarkeit → 4. Fallback</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Standard-Tier: AWS Bedrock EU (eu-central-1) → Claude Sonnet 4.6 — primärer Provider für KMU-Kunden</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Fallback-1: Azure OpenAI (europe-west3) → GPT-4o — automatisch bei Bedrock-Ausfall (&lt; 3s Switchover)</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EU-Regulated-Tier: Mistral La Plateforme (EU) → Mistral Large 2 — für §203-StGB-Kunden (Kanzleien, Ärzte)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Sovereign-Tier: Ollama Self-Hosted (GX3-120) → Llama 3.1 70B — für KRITIS, Behörden, Air-Gap</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BSI-Tier: Aleph Alpha PhariaAI (STACKIT DE) → einziger BSI-C5-zertifizierter Anbieter</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Streaming: SSE für WebChat-Widget, Webhook-POST für Messaging-Kanäle (WhatsApp, Teams)</w:t>
            </w:r>
          </w:p>
        </w:tc>
      </w:tr>
    </w:tbl>
    <w:p>
      <w:pPr>
        <w:spacing w:after="0" w:before="80"/>
      </w:pPr>
    </w:p>
    <w:p>
      <w:pPr>
        <w:pStyle w:val="Heading2"/>
        <w:spacing w:after="100" w:before="280"/>
      </w:pPr>
      <w:r>
        <w:rPr>
          <w:rFonts w:ascii="Arial" w:cs="Arial" w:eastAsia="Arial" w:hAnsi="Arial"/>
          <w:b/>
          <w:bCs/>
          <w:color w:val="0C447C"/>
        </w:rPr>
        <w:t xml:space="preserve">LLM-Provider-Matrix</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426"/>
        <w:gridCol w:w="1200"/>
        <w:gridCol w:w="3000"/>
      </w:tblGrid>
      <w:tr>
        <w:tc>
          <w:tcPr>
            <w:tcW w:type="dxa" w:w="18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Provider</w:t>
            </w:r>
          </w:p>
        </w:tc>
        <w:tc>
          <w:tcPr>
            <w:tcW w:type="dxa" w:w="16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Modell</w:t>
            </w:r>
          </w:p>
        </w:tc>
        <w:tc>
          <w:tcPr>
            <w:tcW w:type="dxa" w:w="1426"/>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Preis/MTok</w:t>
            </w:r>
          </w:p>
        </w:tc>
        <w:tc>
          <w:tcPr>
            <w:tcW w:type="dxa" w:w="12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Datenschutz</w:t>
            </w:r>
          </w:p>
        </w:tc>
        <w:tc>
          <w:tcPr>
            <w:tcW w:type="dxa" w:w="30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Verwendung in OpenClaw</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AWS Bedrock EU (eu-central-1)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Claude Sonnet 4.6</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 / $15</w:t>
            </w:r>
          </w:p>
        </w:tc>
        <w:tc>
          <w:tcPr>
            <w:tcW w:type="dxa" w:w="1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SCCs</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Standard-Tier: Handwerk, E-Commerce, Allgemein-KMU</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AWS Bedrock EU</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Claude Haiku 4.5</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 $5</w:t>
            </w:r>
          </w:p>
        </w:tc>
        <w:tc>
          <w:tcPr>
            <w:tcW w:type="dxa" w:w="1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SCCs</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Starter-Paket: einfache FAQ-Bots, kostensensitiv</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Mistral La Plateforme EU</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Mistral Large 2</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 / $9</w:t>
            </w:r>
          </w:p>
        </w:tc>
        <w:tc>
          <w:tcPr>
            <w:tcW w:type="dxa" w:w="1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EU-native, kein Cloud Act</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§203-Tier: Kanzleien, Ärzte, Steuerberater</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Azure OpenAI (europe-west3)</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GPT-4o</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 / $15</w:t>
            </w:r>
          </w:p>
        </w:tc>
        <w:tc>
          <w:tcPr>
            <w:tcW w:type="dxa" w:w="1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EU SCCs</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Fallback-Provider, Voice-Use-Cases</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Ollama (Self-Hosted GX3-120)</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Llama 3.1 70B</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$0 (GPU-Fixkosten)</w:t>
            </w:r>
          </w:p>
        </w:tc>
        <w:tc>
          <w:tcPr>
            <w:tcW w:type="dxa" w:w="1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On-Premise, kein Ext.-AV</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Sovereign-Tier: KRITIS, Behörden, Air-Gap</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Aleph Alpha STACKIT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PhariaAI</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Enterprise</w:t>
            </w:r>
          </w:p>
        </w:tc>
        <w:tc>
          <w:tcPr>
            <w:tcW w:type="dxa" w:w="1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 C5 (DE)</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BSI-Tier: Bundesbehörden, höchste Anforderungen</w:t>
            </w:r>
          </w:p>
        </w:tc>
      </w:tr>
    </w:tbl>
    <w:p>
      <w:pPr>
        <w:spacing w:after="0" w:before="80"/>
      </w:pPr>
    </w:p>
    <w:p>
      <w:pPr>
        <w:pStyle w:val="Heading2"/>
        <w:spacing w:after="100" w:before="280"/>
      </w:pPr>
      <w:r>
        <w:rPr>
          <w:rFonts w:ascii="Arial" w:cs="Arial" w:eastAsia="Arial" w:hAnsi="Arial"/>
          <w:b/>
          <w:bCs/>
          <w:color w:val="0C447C"/>
        </w:rPr>
        <w:t xml:space="preserve">Prompt-Caching &amp; Token-Optimierung</w:t>
      </w:r>
    </w:p>
    <w:p>
      <w:pPr>
        <w:pStyle w:val="ListParagraph"/>
        <w:numPr>
          <w:ilvl w:val="0"/>
          <w:numId w:val="2"/>
        </w:numPr>
        <w:spacing w:after="40" w:before="40"/>
      </w:pPr>
      <w:r>
        <w:rPr>
          <w:rFonts w:ascii="Arial" w:cs="Arial" w:eastAsia="Arial" w:hAnsi="Arial"/>
          <w:color w:val="333F52"/>
          <w:sz w:val="22"/>
          <w:szCs w:val="22"/>
        </w:rPr>
        <w:t xml:space="preserve">Anthropic Prompt-Caching: System-Prompt + Konversationshistorie als Cache-Breakpoint markiert → 90% Kostenreduktion auf wiederholten Input-Tokens</w:t>
      </w:r>
    </w:p>
    <w:p>
      <w:pPr>
        <w:pStyle w:val="ListParagraph"/>
        <w:numPr>
          <w:ilvl w:val="0"/>
          <w:numId w:val="2"/>
        </w:numPr>
        <w:spacing w:after="40" w:before="40"/>
      </w:pPr>
      <w:r>
        <w:rPr>
          <w:rFonts w:ascii="Arial" w:cs="Arial" w:eastAsia="Arial" w:hAnsi="Arial"/>
          <w:color w:val="333F52"/>
          <w:sz w:val="22"/>
          <w:szCs w:val="22"/>
        </w:rPr>
        <w:t xml:space="preserve">Cache-TTL: 5 Minuten (Short), bis zu 1 Stunde (Long) — je nach Konversations-Aktivität</w:t>
      </w:r>
    </w:p>
    <w:p>
      <w:pPr>
        <w:pStyle w:val="ListParagraph"/>
        <w:numPr>
          <w:ilvl w:val="0"/>
          <w:numId w:val="2"/>
        </w:numPr>
        <w:spacing w:after="40" w:before="40"/>
      </w:pPr>
      <w:r>
        <w:rPr>
          <w:rFonts w:ascii="Arial" w:cs="Arial" w:eastAsia="Arial" w:hAnsi="Arial"/>
          <w:color w:val="333F52"/>
          <w:sz w:val="22"/>
          <w:szCs w:val="22"/>
        </w:rPr>
        <w:t xml:space="preserve">Modell-Routing nach Komplexität: Einfache FAQ-Anfragen → Haiku (10× günstiger), komplexe Analyse → Sonnet</w:t>
      </w:r>
    </w:p>
    <w:p>
      <w:pPr>
        <w:pStyle w:val="ListParagraph"/>
        <w:numPr>
          <w:ilvl w:val="0"/>
          <w:numId w:val="2"/>
        </w:numPr>
        <w:spacing w:after="40" w:before="40"/>
      </w:pPr>
      <w:r>
        <w:rPr>
          <w:rFonts w:ascii="Arial" w:cs="Arial" w:eastAsia="Arial" w:hAnsi="Arial"/>
          <w:color w:val="333F52"/>
          <w:sz w:val="22"/>
          <w:szCs w:val="22"/>
        </w:rPr>
        <w:t xml:space="preserve">Context-Compression: Nach 20 Turns wird die Konversations-History komprimiert (Summary) — verhindert Context-Window-Overflow</w:t>
      </w:r>
    </w:p>
    <w:p>
      <w:pPr>
        <w:pStyle w:val="ListParagraph"/>
        <w:numPr>
          <w:ilvl w:val="0"/>
          <w:numId w:val="2"/>
        </w:numPr>
        <w:spacing w:after="40" w:before="40"/>
      </w:pPr>
      <w:r>
        <w:rPr>
          <w:rFonts w:ascii="Arial" w:cs="Arial" w:eastAsia="Arial" w:hAnsi="Arial"/>
          <w:color w:val="333F52"/>
          <w:sz w:val="22"/>
          <w:szCs w:val="22"/>
        </w:rPr>
        <w:t xml:space="preserve">Batch-API: Für nicht-zeitkritische Aufgaben (Report-Generierung, Analytics) wird die Batch-API genutzt (50% Rabatt)</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1B6B2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L6</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1B6B2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Kanal-Integrations-Schicht</w:t>
            </w:r>
          </w:p>
          <w:p>
            <w:r>
              <w:rPr>
                <w:rFonts w:ascii="Arial" w:cs="Arial" w:eastAsia="Arial" w:hAnsi="Arial"/>
                <w:i/>
                <w:iCs/>
                <w:color w:val="FFFFFF"/>
                <w:sz w:val="22"/>
                <w:szCs w:val="22"/>
              </w:rPr>
              <w:t xml:space="preserve">WhatsApp · Teams · Telegram · Slack · WebChat · Voice</w:t>
            </w:r>
          </w:p>
        </w:tc>
      </w:tr>
    </w:tbl>
    <w:p>
      <w:pPr>
        <w:pageBreakBefore/>
      </w:pPr>
    </w:p>
    <w:p>
      <w:pPr>
        <w:pStyle w:val="Heading1"/>
        <w:spacing w:after="200" w:before="480"/>
      </w:pPr>
      <w:r>
        <w:rPr>
          <w:rFonts w:ascii="Arial" w:cs="Arial" w:eastAsia="Arial" w:hAnsi="Arial"/>
          <w:b/>
          <w:bCs/>
          <w:color w:val="1B3A5C"/>
        </w:rPr>
        <w:t xml:space="preserve">L6 — Kanal-Integrations-Schicht</w:t>
      </w:r>
    </w:p>
    <w:p>
      <w:pPr>
        <w:spacing w:before="160" w:after="80"/>
      </w:pPr>
    </w:p>
    <w:p>
      <w:pPr>
        <w:spacing w:before="80" w:after="40"/>
        <w:jc w:val="center"/>
      </w:pPr>
      <w:r>
        <w:drawing>
          <wp:inline xmlns:a="http://schemas.openxmlformats.org/drawingml/2006/main" xmlns:pic="http://schemas.openxmlformats.org/drawingml/2006/picture">
            <wp:extent cx="5760720" cy="762448"/>
            <wp:docPr id="9" name="Picture 9"/>
            <wp:cNvGraphicFramePr>
              <a:graphicFrameLocks noChangeAspect="1"/>
            </wp:cNvGraphicFramePr>
            <a:graphic>
              <a:graphicData uri="http://schemas.openxmlformats.org/drawingml/2006/picture">
                <pic:pic>
                  <pic:nvPicPr>
                    <pic:cNvPr id="0" name="l6_whatsapp.png"/>
                    <pic:cNvPicPr/>
                  </pic:nvPicPr>
                  <pic:blipFill>
                    <a:blip r:embed="rId18"/>
                    <a:stretch>
                      <a:fillRect/>
                    </a:stretch>
                  </pic:blipFill>
                  <pic:spPr>
                    <a:xfrm>
                      <a:off x="0" y="0"/>
                      <a:ext cx="5760720" cy="762448"/>
                    </a:xfrm>
                    <a:prstGeom prst="rect"/>
                  </pic:spPr>
                </pic:pic>
              </a:graphicData>
            </a:graphic>
          </wp:inline>
        </w:drawing>
      </w:r>
    </w:p>
    <w:p>
      <w:pPr>
        <w:spacing w:before="40" w:after="280"/>
        <w:jc w:val="center"/>
      </w:pPr>
      <w:r>
        <w:rPr>
          <w:i/>
          <w:color w:val="8898AA"/>
          <w:sz w:val="18"/>
        </w:rPr>
        <w:t>Abb. 9: L6 — WhatsApp Business API Datenfluss (8 Schritte)</w:t>
      </w:r>
    </w:p>
    <w:p>
      <w:pPr>
        <w:pBdr>
          <w:bottom w:val="single" w:color="1B6B2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Kanal-Schicht normalisiert alle eingehenden Nachrichten aus 20+ Messaging-Plattformen in ein einheitliches internes Format. Jeder Kanal hat einen dedizierten Adapter mit eigener Authentifizierungs-, Medienverarbeitungs- und Antwort-Formatierungs-Logik.</w:t>
      </w:r>
    </w:p>
    <w:p>
      <w:pPr>
        <w:spacing w:after="0" w:before="80"/>
      </w:pPr>
    </w:p>
    <w:p>
      <w:pPr>
        <w:pStyle w:val="Heading2"/>
        <w:spacing w:after="100" w:before="280"/>
      </w:pPr>
      <w:r>
        <w:rPr>
          <w:rFonts w:ascii="Arial" w:cs="Arial" w:eastAsia="Arial" w:hAnsi="Arial"/>
          <w:b/>
          <w:bCs/>
          <w:color w:val="1B6B2A"/>
        </w:rPr>
        <w:t xml:space="preserve">WhatsApp Business API — Datenfluss</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600"/>
        <w:gridCol w:w="5726"/>
      </w:tblGrid>
      <w:tr>
        <w:tc>
          <w:tcPr>
            <w:tcW w:type="dxa" w:w="7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Schritt</w:t>
            </w:r>
          </w:p>
        </w:tc>
        <w:tc>
          <w:tcPr>
            <w:tcW w:type="dxa" w:w="26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Aktion</w:t>
            </w:r>
          </w:p>
        </w:tc>
        <w:tc>
          <w:tcPr>
            <w:tcW w:type="dxa" w:w="5726"/>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Details</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1</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Webhook-Empfang</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Meta sendet HTTP POST an webhooks.openclaw.app/whatsapp mit X-Hub-Signature-256 Header</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2</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HMAC-Validierung</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SHA-256 HMAC des Request-Body mit App-Secret verifiziert — Invalid-Signature → 401 Reject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3</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Payload-Parsing</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JSON-Parsing: entry[0].changes[0].value.messages[0] — Text, Image, Audio, Document, Location</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4</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Medien-Download</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Bilder/Audio werden von Meta CDN heruntergeladen (signed URL, 5-Min-TTL), in S3 temporär gespeichert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5</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Normalisierung</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 {tenantId, userId: wa_id, channel: 'whatsapp', text, mediaUrl?, timestamp}</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6</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LLM-Verarbeitung</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Über callLLM() → Antwort streamen</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7</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Antwort-Versand</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 graph.facebook.com/v19.0/{phone-number-id}/messages mit Bearer-Token</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8</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Delivery-Receipt</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Meta sendet Status-Webhook (sent/delivered/read) — in DB geloggt</w:t>
            </w:r>
          </w:p>
        </w:tc>
      </w:tr>
    </w:tbl>
    <w:p>
      <w:pPr>
        <w:spacing w:after="0" w:before="80"/>
      </w:pPr>
    </w:p>
    <w:p>
      <w:pPr>
        <w:pStyle w:val="Heading2"/>
        <w:spacing w:after="100" w:before="280"/>
      </w:pPr>
      <w:r>
        <w:rPr>
          <w:rFonts w:ascii="Arial" w:cs="Arial" w:eastAsia="Arial" w:hAnsi="Arial"/>
          <w:b/>
          <w:bCs/>
          <w:color w:val="1B6B2A"/>
        </w:rPr>
        <w:t xml:space="preserve">Kanal-Vergleich: Medientypen &amp; Besonderheiten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1000"/>
        <w:gridCol w:w="1000"/>
        <w:gridCol w:w="1000"/>
        <w:gridCol w:w="1000"/>
        <w:gridCol w:w="1426"/>
        <w:gridCol w:w="3000"/>
      </w:tblGrid>
      <w:tr>
        <w:tc>
          <w:tcPr>
            <w:tcW w:type="dxa" w:w="16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Kanal</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Text</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Bild</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Audio/Voice</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Datei</w:t>
            </w:r>
          </w:p>
        </w:tc>
        <w:tc>
          <w:tcPr>
            <w:tcW w:type="dxa" w:w="1426"/>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DSGVO</w:t>
            </w:r>
          </w:p>
        </w:tc>
        <w:tc>
          <w:tcPr>
            <w:tcW w:type="dxa" w:w="3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Besonderheit</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WhatsApp Business API</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Vision</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STT (v2.0)</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EU</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Offizielle Meta API (kein Baileys), 24h Message-Window</w:t>
            </w:r>
          </w:p>
        </w:tc>
      </w:tr>
      <w:tr>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Microsoft Teams</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EU</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Azure Bot Framework, Adaptive Cards, SSO via Entra ID</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Telegram</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Vision</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 RU</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grammY-Library, Inline-Keyboards, Bot-Commands</w:t>
            </w:r>
          </w:p>
        </w:tc>
      </w:tr>
      <w:tr>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Slack</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EU</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Bolt-Framework, Slash-Commands, App-Home-Tab</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WebChat-Widget</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Self-Hosted</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SSE-Streaming, Embeddable, Custom-CSS, WCAG 2.1 AA</w:t>
            </w:r>
          </w:p>
        </w:tc>
      </w:tr>
      <w:tr>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Discord</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 US</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discord.js, Slash-Commands, Thread-Support</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Signal</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E2E</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signal-cli Server required, höchste Datenschutzstufe</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6B4200"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L7</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6B4200"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Datenschicht</w:t>
            </w:r>
          </w:p>
          <w:p>
            <w:r>
              <w:rPr>
                <w:rFonts w:ascii="Arial" w:cs="Arial" w:eastAsia="Arial" w:hAnsi="Arial"/>
                <w:i/>
                <w:iCs/>
                <w:color w:val="FFFFFF"/>
                <w:sz w:val="22"/>
                <w:szCs w:val="22"/>
              </w:rPr>
              <w:t xml:space="preserve">PostgreSQL 16 · Redis 7 · pgvector · MinIO · Backups</w:t>
            </w:r>
          </w:p>
        </w:tc>
      </w:tr>
    </w:tbl>
    <w:p>
      <w:pPr>
        <w:pageBreakBefore/>
      </w:pPr>
    </w:p>
    <w:p>
      <w:pPr>
        <w:pStyle w:val="Heading1"/>
        <w:spacing w:after="200" w:before="480"/>
      </w:pPr>
      <w:r>
        <w:rPr>
          <w:rFonts w:ascii="Arial" w:cs="Arial" w:eastAsia="Arial" w:hAnsi="Arial"/>
          <w:b/>
          <w:bCs/>
          <w:color w:val="1B3A5C"/>
        </w:rPr>
        <w:t xml:space="preserve">L7 — Datenschicht</w:t>
      </w:r>
    </w:p>
    <w:p>
      <w:pPr>
        <w:spacing w:before="160" w:after="80"/>
      </w:pPr>
    </w:p>
    <w:p>
      <w:pPr>
        <w:spacing w:before="80" w:after="40"/>
        <w:jc w:val="center"/>
      </w:pPr>
      <w:r>
        <w:drawing>
          <wp:inline xmlns:a="http://schemas.openxmlformats.org/drawingml/2006/main" xmlns:pic="http://schemas.openxmlformats.org/drawingml/2006/picture">
            <wp:extent cx="5760720" cy="1694329"/>
            <wp:docPr id="10" name="Picture 10"/>
            <wp:cNvGraphicFramePr>
              <a:graphicFrameLocks noChangeAspect="1"/>
            </wp:cNvGraphicFramePr>
            <a:graphic>
              <a:graphicData uri="http://schemas.openxmlformats.org/drawingml/2006/picture">
                <pic:pic>
                  <pic:nvPicPr>
                    <pic:cNvPr id="0" name="l7a_data_arch.png"/>
                    <pic:cNvPicPr/>
                  </pic:nvPicPr>
                  <pic:blipFill>
                    <a:blip r:embed="rId19"/>
                    <a:stretch>
                      <a:fillRect/>
                    </a:stretch>
                  </pic:blipFill>
                  <pic:spPr>
                    <a:xfrm>
                      <a:off x="0" y="0"/>
                      <a:ext cx="5760720" cy="1694329"/>
                    </a:xfrm>
                    <a:prstGeom prst="rect"/>
                  </pic:spPr>
                </pic:pic>
              </a:graphicData>
            </a:graphic>
          </wp:inline>
        </w:drawing>
      </w:r>
    </w:p>
    <w:p>
      <w:pPr>
        <w:spacing w:before="40" w:after="280"/>
        <w:jc w:val="center"/>
      </w:pPr>
      <w:r>
        <w:rPr>
          <w:i/>
          <w:color w:val="8898AA"/>
          <w:sz w:val="18"/>
        </w:rPr>
        <w:t>Abb. 10: L7 — Datenschicht-Architektur (PostgreSQL, Redis, S3)</w:t>
      </w:r>
    </w:p>
    <w:p>
      <w:pPr>
        <w:pBdr>
          <w:bottom w:val="single" w:color="6B4200"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Datenschicht ist mandantenisoliert auf Schema-Ebene. Alle Daten bleiben in Deutschland (Hetzner Nürnberg/Falkenstein). PostgreSQL ist das primäre Datenbanksystem, Redis übernimmt Caching und Job-Queue, pgvector ermöglicht RAG-Embeddings.</w:t>
      </w:r>
    </w:p>
    <w:p>
      <w:pPr>
        <w:spacing w:after="0" w:before="80"/>
      </w:pPr>
    </w:p>
    <w:p>
      <w:pPr>
        <w:pStyle w:val="Heading2"/>
        <w:spacing w:after="100" w:before="280"/>
      </w:pPr>
      <w:r>
        <w:rPr>
          <w:rFonts w:ascii="Arial" w:cs="Arial" w:eastAsia="Arial" w:hAnsi="Arial"/>
          <w:b/>
          <w:bCs/>
          <w:color w:val="6B4200"/>
        </w:rPr>
        <w:t xml:space="preserve">PostgreSQL 16 — Schema-Architektur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26"/>
        <w:gridCol w:w="3400"/>
      </w:tblGrid>
      <w:tr>
        <w:tc>
          <w:tcPr>
            <w:tcW w:type="dxa" w:w="20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Schema/Tabelle</w:t>
            </w:r>
          </w:p>
        </w:tc>
        <w:tc>
          <w:tcPr>
            <w:tcW w:type="dxa" w:w="18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Typ</w:t>
            </w:r>
          </w:p>
        </w:tc>
        <w:tc>
          <w:tcPr>
            <w:tcW w:type="dxa" w:w="1826"/>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Verschlüsselung</w:t>
            </w:r>
          </w:p>
        </w:tc>
        <w:tc>
          <w:tcPr>
            <w:tcW w:type="dxa" w:w="34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Inhalt</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public.tenants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Mandanten-Metadaten: ID, Plan, Status, created_at</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public.channels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Kanal-Konfigurationen: Type, Credentials-Ref (Vault), Status</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public.token_usage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Token-Verbrauch: tenant_id, model, input, output, cost, timestamp</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public.invoices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pgcrypto</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Rechnungsdaten: Betrag, Positionen, Stripe-Payment-Intent-ID</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tenant_{id}.conversations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Konversations-Metadaten: user_id, channel, created_at</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tenant_{id}.messages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(optional)</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Nachrichten: role, content, tokens, timestamp, cached</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tenant_{id}.documents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RAG-Dokumente: filename, size, chunk_count, status</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tenant_{id}.embeddings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pgvector (1536 dims): chunk_text, embedding, doc_id, page</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tenant_{id}.audit_log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Append-only</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Audit-Trail: actor, action, resource, timestamp, ip</w:t>
            </w:r>
          </w:p>
        </w:tc>
      </w:tr>
    </w:tbl>
    <w:p>
      <w:pPr>
        <w:spacing w:after="0" w:before="80"/>
      </w:pPr>
    </w:p>
    <w:p>
      <w:pPr>
        <w:pStyle w:val="Heading2"/>
        <w:spacing w:after="100" w:before="280"/>
      </w:pPr>
      <w:r>
        <w:rPr>
          <w:rFonts w:ascii="Arial" w:cs="Arial" w:eastAsia="Arial" w:hAnsi="Arial"/>
          <w:b/>
          <w:bCs/>
          <w:color w:val="6B4200"/>
        </w:rPr>
        <w:t xml:space="preserve">Redis 7 — Verwendungszwecke</w:t>
      </w:r>
    </w:p>
    <w:p>
      <w:pPr>
        <w:pStyle w:val="ListParagraph"/>
        <w:numPr>
          <w:ilvl w:val="0"/>
          <w:numId w:val="2"/>
        </w:numPr>
        <w:spacing w:after="40" w:before="40"/>
      </w:pPr>
      <w:r>
        <w:rPr>
          <w:rFonts w:ascii="Arial" w:cs="Arial" w:eastAsia="Arial" w:hAnsi="Arial"/>
          <w:color w:val="333F52"/>
          <w:sz w:val="22"/>
          <w:szCs w:val="22"/>
        </w:rPr>
        <w:t xml:space="preserve">BullMQ Job-Queue: message-processing-queue (Eingehende Nachrichten), response-dispatch-queue (Ausgehende Antworten), cleanup-queue (DSGVO-Löschjobs)</w:t>
      </w:r>
    </w:p>
    <w:p>
      <w:pPr>
        <w:pStyle w:val="ListParagraph"/>
        <w:numPr>
          <w:ilvl w:val="0"/>
          <w:numId w:val="2"/>
        </w:numPr>
        <w:spacing w:after="40" w:before="40"/>
      </w:pPr>
      <w:r>
        <w:rPr>
          <w:rFonts w:ascii="Arial" w:cs="Arial" w:eastAsia="Arial" w:hAnsi="Arial"/>
          <w:color w:val="333F52"/>
          <w:sz w:val="22"/>
          <w:szCs w:val="22"/>
        </w:rPr>
        <w:t xml:space="preserve">Session-Cache: Konversations-History je {tenantId}:{userId}:{channelId} — Sliding-Window-TTL 24h, LZ4-komprimiert</w:t>
      </w:r>
    </w:p>
    <w:p>
      <w:pPr>
        <w:pStyle w:val="ListParagraph"/>
        <w:numPr>
          <w:ilvl w:val="0"/>
          <w:numId w:val="2"/>
        </w:numPr>
        <w:spacing w:after="40" w:before="40"/>
      </w:pPr>
      <w:r>
        <w:rPr>
          <w:rFonts w:ascii="Arial" w:cs="Arial" w:eastAsia="Arial" w:hAnsi="Arial"/>
          <w:color w:val="333F52"/>
          <w:sz w:val="22"/>
          <w:szCs w:val="22"/>
        </w:rPr>
        <w:t xml:space="preserve">Rate-Limit-Counter: Sliding-Window-Counter je IP und Tenant — Traefik liest via Redis-Plugin</w:t>
      </w:r>
    </w:p>
    <w:p>
      <w:pPr>
        <w:pStyle w:val="ListParagraph"/>
        <w:numPr>
          <w:ilvl w:val="0"/>
          <w:numId w:val="2"/>
        </w:numPr>
        <w:spacing w:after="40" w:before="40"/>
      </w:pPr>
      <w:r>
        <w:rPr>
          <w:rFonts w:ascii="Arial" w:cs="Arial" w:eastAsia="Arial" w:hAnsi="Arial"/>
          <w:color w:val="333F52"/>
          <w:sz w:val="22"/>
          <w:szCs w:val="22"/>
        </w:rPr>
        <w:t xml:space="preserve">Pub/Sub: Echtzeit-Events zwischen Gateway-Instanzen (neue Nachricht, Kanal-Status-Änderung)</w:t>
      </w:r>
    </w:p>
    <w:p>
      <w:pPr>
        <w:pStyle w:val="ListParagraph"/>
        <w:numPr>
          <w:ilvl w:val="0"/>
          <w:numId w:val="2"/>
        </w:numPr>
        <w:spacing w:after="40" w:before="40"/>
      </w:pPr>
      <w:r>
        <w:rPr>
          <w:rFonts w:ascii="Arial" w:cs="Arial" w:eastAsia="Arial" w:hAnsi="Arial"/>
          <w:color w:val="333F52"/>
          <w:sz w:val="22"/>
          <w:szCs w:val="22"/>
        </w:rPr>
        <w:t xml:space="preserve">Distributed Lock: Verhindert parallele Verarbeitung derselben Konversation (Redlock-Algorithm)</w:t>
      </w:r>
    </w:p>
    <w:p>
      <w:pPr>
        <w:spacing w:after="0" w:before="80"/>
      </w:pPr>
    </w:p>
    <w:p>
      <w:pPr>
        <w:pStyle w:val="Heading2"/>
        <w:spacing w:after="100" w:before="280"/>
      </w:pPr>
      <w:r>
        <w:rPr>
          <w:rFonts w:ascii="Arial" w:cs="Arial" w:eastAsia="Arial" w:hAnsi="Arial"/>
          <w:b/>
          <w:bCs/>
          <w:color w:val="6B4200"/>
        </w:rPr>
        <w:t xml:space="preserve">Backup-Strategie</w:t>
      </w:r>
    </w:p>
    <w:p>
      <w:pPr>
        <w:spacing w:before="160" w:after="80"/>
      </w:pPr>
    </w:p>
    <w:p>
      <w:pPr>
        <w:spacing w:before="80" w:after="40"/>
        <w:jc w:val="center"/>
      </w:pPr>
      <w:r>
        <w:drawing>
          <wp:inline xmlns:a="http://schemas.openxmlformats.org/drawingml/2006/main" xmlns:pic="http://schemas.openxmlformats.org/drawingml/2006/picture">
            <wp:extent cx="5760720" cy="1143672"/>
            <wp:docPr id="11" name="Picture 11"/>
            <wp:cNvGraphicFramePr>
              <a:graphicFrameLocks noChangeAspect="1"/>
            </wp:cNvGraphicFramePr>
            <a:graphic>
              <a:graphicData uri="http://schemas.openxmlformats.org/drawingml/2006/picture">
                <pic:pic>
                  <pic:nvPicPr>
                    <pic:cNvPr id="0" name="l7b_rag.png"/>
                    <pic:cNvPicPr/>
                  </pic:nvPicPr>
                  <pic:blipFill>
                    <a:blip r:embed="rId20"/>
                    <a:stretch>
                      <a:fillRect/>
                    </a:stretch>
                  </pic:blipFill>
                  <pic:spPr>
                    <a:xfrm>
                      <a:off x="0" y="0"/>
                      <a:ext cx="5760720" cy="1143672"/>
                    </a:xfrm>
                    <a:prstGeom prst="rect"/>
                  </pic:spPr>
                </pic:pic>
              </a:graphicData>
            </a:graphic>
          </wp:inline>
        </w:drawing>
      </w:r>
    </w:p>
    <w:p>
      <w:pPr>
        <w:spacing w:before="40" w:after="280"/>
        <w:jc w:val="center"/>
      </w:pPr>
      <w:r>
        <w:rPr>
          <w:i/>
          <w:color w:val="8898AA"/>
          <w:sz w:val="18"/>
        </w:rPr>
        <w:t>Abb. 11: L7 — RAG-Pipeline: Indexierungspfad und Abfragepfad</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626"/>
        <w:gridCol w:w="1600"/>
        <w:gridCol w:w="2400"/>
      </w:tblGrid>
      <w:tr>
        <w:tc>
          <w:tcPr>
            <w:tcW w:type="dxa" w:w="18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Paket</w:t>
            </w:r>
          </w:p>
        </w:tc>
        <w:tc>
          <w:tcPr>
            <w:tcW w:type="dxa" w:w="16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Backup-Frequenz</w:t>
            </w:r>
          </w:p>
        </w:tc>
        <w:tc>
          <w:tcPr>
            <w:tcW w:type="dxa" w:w="1626"/>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Retention</w:t>
            </w:r>
          </w:p>
        </w:tc>
        <w:tc>
          <w:tcPr>
            <w:tcW w:type="dxa" w:w="16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Methode</w:t>
            </w:r>
          </w:p>
        </w:tc>
        <w:tc>
          <w:tcPr>
            <w:tcW w:type="dxa" w:w="24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Wiederherstellungstest</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Starter</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54F0B"/>
                <w:sz w:val="20"/>
                <w:szCs w:val="20"/>
              </w:rPr>
              <w:t xml:space="preserve">1× täglich</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30 Tage</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pg_dump → S3 AES-256</w:t>
            </w:r>
          </w:p>
        </w:tc>
        <w:tc>
          <w:tcPr>
            <w:tcW w:type="dxa" w:w="2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Monatlich (manuell)</w:t>
            </w:r>
          </w:p>
        </w:tc>
      </w:tr>
      <w:tr>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Professional</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2D6A0A"/>
                <w:sz w:val="20"/>
                <w:szCs w:val="20"/>
              </w:rPr>
              <w:t xml:space="preserve">Alle 6 Stunden</w:t>
            </w:r>
          </w:p>
        </w:tc>
        <w:tc>
          <w:tcPr>
            <w:tcW w:type="dxa" w:w="16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60 Tage</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Snapshot + WAL → S3</w:t>
            </w:r>
          </w:p>
        </w:tc>
        <w:tc>
          <w:tcPr>
            <w:tcW w:type="dxa" w:w="2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Wöchentlich (automatisch)</w:t>
            </w:r>
          </w:p>
        </w:tc>
      </w:tr>
      <w:tr>
        <w:tc>
          <w:tcPr>
            <w:tcW w:type="dxa" w:w="18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Enterprise</w:t>
            </w:r>
          </w:p>
        </w:tc>
        <w:tc>
          <w:tcPr>
            <w:tcW w:type="dxa" w:w="16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Kontinuierlich (WAL)</w:t>
            </w:r>
          </w:p>
        </w:tc>
        <w:tc>
          <w:tcPr>
            <w:tcW w:type="dxa" w:w="1626"/>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90 Tage</w:t>
            </w:r>
          </w:p>
        </w:tc>
        <w:tc>
          <w:tcPr>
            <w:tcW w:type="dxa" w:w="16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WAL-Streaming + PITR</w:t>
            </w:r>
          </w:p>
        </w:tc>
        <w:tc>
          <w:tcPr>
            <w:tcW w:type="dxa" w:w="24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Täglich (automatisch + Alarm)</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3C3489"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L8</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3C3489"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Frontend &amp; Portal-Schicht</w:t>
            </w:r>
          </w:p>
          <w:p>
            <w:r>
              <w:rPr>
                <w:rFonts w:ascii="Arial" w:cs="Arial" w:eastAsia="Arial" w:hAnsi="Arial"/>
                <w:i/>
                <w:iCs/>
                <w:color w:val="FFFFFF"/>
                <w:sz w:val="22"/>
                <w:szCs w:val="22"/>
              </w:rPr>
              <w:t xml:space="preserve">Next.js 15 · shadcn/ui · NextAuth · tRPC · WebChat</w:t>
            </w:r>
          </w:p>
        </w:tc>
      </w:tr>
    </w:tbl>
    <w:p>
      <w:pPr>
        <w:pageBreakBefore/>
      </w:pPr>
    </w:p>
    <w:p>
      <w:pPr>
        <w:pStyle w:val="Heading1"/>
        <w:spacing w:after="200" w:before="480"/>
      </w:pPr>
      <w:r>
        <w:rPr>
          <w:rFonts w:ascii="Arial" w:cs="Arial" w:eastAsia="Arial" w:hAnsi="Arial"/>
          <w:b/>
          <w:bCs/>
          <w:color w:val="1B3A5C"/>
        </w:rPr>
        <w:t xml:space="preserve">L8 — Frontend &amp; Portal-Schicht</w:t>
      </w:r>
    </w:p>
    <w:p>
      <w:pPr>
        <w:spacing w:before="160" w:after="80"/>
      </w:pPr>
    </w:p>
    <w:p>
      <w:pPr>
        <w:spacing w:before="80" w:after="40"/>
        <w:jc w:val="center"/>
      </w:pPr>
      <w:r>
        <w:drawing>
          <wp:inline xmlns:a="http://schemas.openxmlformats.org/drawingml/2006/main" xmlns:pic="http://schemas.openxmlformats.org/drawingml/2006/picture">
            <wp:extent cx="5760720" cy="2075554"/>
            <wp:docPr id="12" name="Picture 12"/>
            <wp:cNvGraphicFramePr>
              <a:graphicFrameLocks noChangeAspect="1"/>
            </wp:cNvGraphicFramePr>
            <a:graphic>
              <a:graphicData uri="http://schemas.openxmlformats.org/drawingml/2006/picture">
                <pic:pic>
                  <pic:nvPicPr>
                    <pic:cNvPr id="0" name="l8_frontend.png"/>
                    <pic:cNvPicPr/>
                  </pic:nvPicPr>
                  <pic:blipFill>
                    <a:blip r:embed="rId21"/>
                    <a:stretch>
                      <a:fillRect/>
                    </a:stretch>
                  </pic:blipFill>
                  <pic:spPr>
                    <a:xfrm>
                      <a:off x="0" y="0"/>
                      <a:ext cx="5760720" cy="2075554"/>
                    </a:xfrm>
                    <a:prstGeom prst="rect"/>
                  </pic:spPr>
                </pic:pic>
              </a:graphicData>
            </a:graphic>
          </wp:inline>
        </w:drawing>
      </w:r>
    </w:p>
    <w:p>
      <w:pPr>
        <w:spacing w:before="40" w:after="280"/>
        <w:jc w:val="center"/>
      </w:pPr>
      <w:r>
        <w:rPr>
          <w:i/>
          <w:color w:val="8898AA"/>
          <w:sz w:val="18"/>
        </w:rPr>
        <w:t>Abb. 12: L8 — Next.js 15 App Router Architektur</w:t>
      </w:r>
    </w:p>
    <w:p>
      <w:pPr>
        <w:pBdr>
          <w:bottom w:val="single" w:color="3C3489"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Das Kundenportal ist eine Next.js 15 App-Router-Applikation mit Server Components, Streaming und tRPC für type-safe API-Kommunikation. Das WebChat-Widget ist ein separates, einbettbares JavaScript-Bundle das auf Kundenseiten deployed wird.</w:t>
      </w:r>
    </w:p>
    <w:p>
      <w:pPr>
        <w:spacing w:after="0" w:before="80"/>
      </w:pPr>
    </w:p>
    <w:p>
      <w:pPr>
        <w:pStyle w:val="Heading2"/>
        <w:spacing w:after="100" w:before="280"/>
      </w:pPr>
      <w:r>
        <w:rPr>
          <w:rFonts w:ascii="Arial" w:cs="Arial" w:eastAsia="Arial" w:hAnsi="Arial"/>
          <w:b/>
          <w:bCs/>
          <w:color w:val="3C3489"/>
        </w:rPr>
        <w:t xml:space="preserve">Next.js 15 App Router — Seitenstruktur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426"/>
      </w:tblGrid>
      <w:tr>
        <w:tc>
          <w:tcPr>
            <w:tcW w:type="dxa" w:w="2800"/>
            <w:tcBorders>
              <w:top w:val="single" w:color="DDE3EC" w:sz="1"/>
              <w:left w:val="single" w:color="DDE3EC" w:sz="1"/>
              <w:bottom w:val="single" w:color="DDE3EC" w:sz="1"/>
              <w:right w:val="single" w:color="DDE3EC" w:sz="1"/>
            </w:tcBorders>
            <w:shd w:fill="3C3489" w:val="clear"/>
            <w:tcMar>
              <w:top w:type="dxa" w:w="80"/>
              <w:left w:type="dxa" w:w="110"/>
              <w:bottom w:type="dxa" w:w="80"/>
              <w:right w:type="dxa" w:w="110"/>
            </w:tcMar>
          </w:tcPr>
          <w:p>
            <w:r>
              <w:rPr>
                <w:rFonts w:ascii="Arial" w:cs="Arial" w:eastAsia="Arial" w:hAnsi="Arial"/>
                <w:b/>
                <w:bCs/>
                <w:color w:val="FFFFFF"/>
                <w:sz w:val="20"/>
                <w:szCs w:val="20"/>
              </w:rPr>
              <w:t xml:space="preserve">Route</w:t>
            </w:r>
          </w:p>
        </w:tc>
        <w:tc>
          <w:tcPr>
            <w:tcW w:type="dxa" w:w="1800"/>
            <w:tcBorders>
              <w:top w:val="single" w:color="DDE3EC" w:sz="1"/>
              <w:left w:val="single" w:color="DDE3EC" w:sz="1"/>
              <w:bottom w:val="single" w:color="DDE3EC" w:sz="1"/>
              <w:right w:val="single" w:color="DDE3EC" w:sz="1"/>
            </w:tcBorders>
            <w:shd w:fill="3C3489" w:val="clear"/>
            <w:tcMar>
              <w:top w:type="dxa" w:w="80"/>
              <w:left w:type="dxa" w:w="110"/>
              <w:bottom w:type="dxa" w:w="80"/>
              <w:right w:type="dxa" w:w="110"/>
            </w:tcMar>
          </w:tcPr>
          <w:p>
            <w:r>
              <w:rPr>
                <w:rFonts w:ascii="Arial" w:cs="Arial" w:eastAsia="Arial" w:hAnsi="Arial"/>
                <w:b/>
                <w:bCs/>
                <w:color w:val="FFFFFF"/>
                <w:sz w:val="20"/>
                <w:szCs w:val="20"/>
              </w:rPr>
              <w:t xml:space="preserve">Render-Typ</w:t>
            </w:r>
          </w:p>
        </w:tc>
        <w:tc>
          <w:tcPr>
            <w:tcW w:type="dxa" w:w="4426"/>
            <w:tcBorders>
              <w:top w:val="single" w:color="DDE3EC" w:sz="1"/>
              <w:left w:val="single" w:color="DDE3EC" w:sz="1"/>
              <w:bottom w:val="single" w:color="DDE3EC" w:sz="1"/>
              <w:right w:val="single" w:color="DDE3EC" w:sz="1"/>
            </w:tcBorders>
            <w:shd w:fill="3C3489" w:val="clear"/>
            <w:tcMar>
              <w:top w:type="dxa" w:w="80"/>
              <w:left w:type="dxa" w:w="110"/>
              <w:bottom w:type="dxa" w:w="80"/>
              <w:right w:type="dxa" w:w="110"/>
            </w:tcMar>
          </w:tcPr>
          <w:p>
            <w:r>
              <w:rPr>
                <w:rFonts w:ascii="Arial" w:cs="Arial" w:eastAsia="Arial" w:hAnsi="Arial"/>
                <w:b/>
                <w:bCs/>
                <w:color w:val="FFFFFF"/>
                <w:sz w:val="20"/>
                <w:szCs w:val="20"/>
              </w:rPr>
              <w:t xml:space="preserve">Funktion</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 (Landing Page)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Static SSG</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Produkt-Landing, Pricing-Tabelle, Demo-Widget, Conversion-CTAs</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/auth/login</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SSR</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NextAuth.js Login: OAuth (Google/Microsoft), Magic Link per E-Mail</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/dashboard</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Client-Islands</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Übersichts-Dashboard: MRR, aktive Kanäle, Health-Score, Alerts</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/channels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Client</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Kanal-Verwaltung: Status, Verbindung, Test, Deaktivierung</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/channels/new</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Client-Side Wizard</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Schritt-für-Schritt Kanal-Setup (WhatsApp → AVV → Konfiguration)</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/assistant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Client (SSE)</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System-Prompt-Editor, Modell-Auswahl, Persona-Konfiguration</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/tokens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Recharts</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Token-Verbrauch-Charts, Kosten-Breakdown, CSV-Export</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/documents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Client</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RAG-Dokument-Upload, Indexierungs-Status, Dokument-Verwaltung</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/billing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SSR</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Stripe-Rechnungen, Paket-Upgrade, Zahlungs-Methoden</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/settings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Client</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Team-Verwaltung, White-Label-Konfigurator, API-Key-Management</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/api/trpc/[trpc]</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API Route</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tRPC-Router — alle Backend-Operationen, JWT-Auth-Middleware</w:t>
            </w:r>
          </w:p>
        </w:tc>
      </w:tr>
    </w:tbl>
    <w:p>
      <w:pPr>
        <w:spacing w:after="0" w:before="80"/>
      </w:pPr>
    </w:p>
    <w:p>
      <w:pPr>
        <w:pStyle w:val="Heading2"/>
        <w:spacing w:after="100" w:before="280"/>
      </w:pPr>
      <w:r>
        <w:rPr>
          <w:rFonts w:ascii="Arial" w:cs="Arial" w:eastAsia="Arial" w:hAnsi="Arial"/>
          <w:b/>
          <w:bCs/>
          <w:color w:val="3C3489"/>
        </w:rPr>
        <w:t xml:space="preserve">WebChat-Widget — Technische Architektur</w:t>
      </w:r>
    </w:p>
    <w:p>
      <w:pPr>
        <w:pStyle w:val="ListParagraph"/>
        <w:numPr>
          <w:ilvl w:val="0"/>
          <w:numId w:val="2"/>
        </w:numPr>
        <w:spacing w:after="40" w:before="40"/>
      </w:pPr>
      <w:r>
        <w:rPr>
          <w:rFonts w:ascii="Arial" w:cs="Arial" w:eastAsia="Arial" w:hAnsi="Arial"/>
          <w:color w:val="333F52"/>
          <w:sz w:val="22"/>
          <w:szCs w:val="22"/>
        </w:rPr>
        <w:t xml:space="preserve">Bundle: &lt; 12 KB gzip — optimiert für minimalen Page-Speed-Impact auf Kunden-Websites</w:t>
      </w:r>
    </w:p>
    <w:p>
      <w:pPr>
        <w:pStyle w:val="ListParagraph"/>
        <w:numPr>
          <w:ilvl w:val="0"/>
          <w:numId w:val="2"/>
        </w:numPr>
        <w:spacing w:after="40" w:before="40"/>
      </w:pPr>
      <w:r>
        <w:rPr>
          <w:rFonts w:ascii="Arial" w:cs="Arial" w:eastAsia="Arial" w:hAnsi="Arial"/>
          <w:color w:val="333F52"/>
          <w:sz w:val="22"/>
          <w:szCs w:val="22"/>
        </w:rPr>
        <w:t xml:space="preserve">Embedding: &lt;script src='https://cdn.openclaw.app/widget.js' data-tenant-id='xxx'&gt;&lt;/script&gt; — ein Zeile Code</w:t>
      </w:r>
    </w:p>
    <w:p>
      <w:pPr>
        <w:pStyle w:val="ListParagraph"/>
        <w:numPr>
          <w:ilvl w:val="0"/>
          <w:numId w:val="2"/>
        </w:numPr>
        <w:spacing w:after="40" w:before="40"/>
      </w:pPr>
      <w:r>
        <w:rPr>
          <w:rFonts w:ascii="Arial" w:cs="Arial" w:eastAsia="Arial" w:hAnsi="Arial"/>
          <w:color w:val="333F52"/>
          <w:sz w:val="22"/>
          <w:szCs w:val="22"/>
        </w:rPr>
        <w:t xml:space="preserve">Kommunikation: SSE (Server-Sent Events) für Streaming-Antworten, fetch() für Nachrichtenversand</w:t>
      </w:r>
    </w:p>
    <w:p>
      <w:pPr>
        <w:pStyle w:val="ListParagraph"/>
        <w:numPr>
          <w:ilvl w:val="0"/>
          <w:numId w:val="2"/>
        </w:numPr>
        <w:spacing w:after="40" w:before="40"/>
      </w:pPr>
      <w:r>
        <w:rPr>
          <w:rFonts w:ascii="Arial" w:cs="Arial" w:eastAsia="Arial" w:hAnsi="Arial"/>
          <w:color w:val="333F52"/>
          <w:sz w:val="22"/>
          <w:szCs w:val="22"/>
        </w:rPr>
        <w:t xml:space="preserve">State: Konversations-State vollständig im Browser (keine Backend-Session nötig für WebChat-Widget)</w:t>
      </w:r>
    </w:p>
    <w:p>
      <w:pPr>
        <w:pStyle w:val="ListParagraph"/>
        <w:numPr>
          <w:ilvl w:val="0"/>
          <w:numId w:val="2"/>
        </w:numPr>
        <w:spacing w:after="40" w:before="40"/>
      </w:pPr>
      <w:r>
        <w:rPr>
          <w:rFonts w:ascii="Arial" w:cs="Arial" w:eastAsia="Arial" w:hAnsi="Arial"/>
          <w:color w:val="333F52"/>
          <w:sz w:val="22"/>
          <w:szCs w:val="22"/>
        </w:rPr>
        <w:t xml:space="preserve">CORS: Tenant-spezifische CORS-Whitelist — Widget funktioniert nur auf konfigurierten Domains</w:t>
      </w:r>
    </w:p>
    <w:p>
      <w:pPr>
        <w:pStyle w:val="ListParagraph"/>
        <w:numPr>
          <w:ilvl w:val="0"/>
          <w:numId w:val="2"/>
        </w:numPr>
        <w:spacing w:after="40" w:before="40"/>
      </w:pPr>
      <w:r>
        <w:rPr>
          <w:rFonts w:ascii="Arial" w:cs="Arial" w:eastAsia="Arial" w:hAnsi="Arial"/>
          <w:color w:val="333F52"/>
          <w:sz w:val="22"/>
          <w:szCs w:val="22"/>
        </w:rPr>
        <w:t xml:space="preserve">Customization: CSS Custom Properties für Farben, Schriften, Position — vollständig White-Label-fähig</w:t>
      </w:r>
    </w:p>
    <w:p>
      <w:pPr>
        <w:spacing w:after="0" w:before="80"/>
      </w:pPr>
    </w:p>
    <w:p>
      <w:pPr>
        <w:pStyle w:val="Heading2"/>
        <w:spacing w:after="100" w:before="280"/>
      </w:pPr>
      <w:r>
        <w:rPr>
          <w:rFonts w:ascii="Arial" w:cs="Arial" w:eastAsia="Arial" w:hAnsi="Arial"/>
          <w:b/>
          <w:bCs/>
          <w:color w:val="3C3489"/>
        </w:rPr>
        <w:t xml:space="preserve">Komponenten-System (shadcn/ui)</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3C3489" w:val="clear"/>
            <w:tcMar>
              <w:top w:type="dxa" w:w="80"/>
              <w:left w:type="dxa" w:w="160"/>
              <w:bottom w:type="dxa" w:w="80"/>
              <w:right w:type="dxa" w:w="160"/>
            </w:tcMar>
          </w:tcPr>
          <w:p>
            <w:r>
              <w:rPr>
                <w:rFonts w:ascii="Arial" w:cs="Arial" w:eastAsia="Arial" w:hAnsi="Arial"/>
                <w:b/>
                <w:bCs/>
                <w:color w:val="FFFFFF"/>
                <w:sz w:val="22"/>
                <w:szCs w:val="22"/>
              </w:rPr>
              <w:t xml:space="preserve">Design-System — Kern-Komponenten</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Layout: AppShell (Sidebar + Header), PageContainer, SplitPane für Chat-Interface</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Daten: DataTable (TanStack Table), MetricCard (KPI-Anzeige), TokenChart (Recharts), ChannelStatusBadge</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Formulare: SystemPromptEditor (CodeMirror), ModelSelector, ChannelWizard, DocumentUploader</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Feedback: Toast (Sonner), AlertBanner, ProgressIndicator, StreamingText (SSE-Renderer)</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Auth: LoginForm, OAuthButtons, MagicLinkSent, SessionExpiredModal</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Design-Tokens: OpenClaw Navy #1B3A5C, Accent Blue #2E75B6, Teal #0F6E56 — als CSS-Custom-Properties</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0F6E56"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L9</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0F6E56"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Monitoring &amp; Observability</w:t>
            </w:r>
          </w:p>
          <w:p>
            <w:r>
              <w:rPr>
                <w:rFonts w:ascii="Arial" w:cs="Arial" w:eastAsia="Arial" w:hAnsi="Arial"/>
                <w:i/>
                <w:iCs/>
                <w:color w:val="FFFFFF"/>
                <w:sz w:val="22"/>
                <w:szCs w:val="22"/>
              </w:rPr>
              <w:t xml:space="preserve">Prometheus · Grafana · Loki · Alertmanager · PagerDuty</w:t>
            </w:r>
          </w:p>
        </w:tc>
      </w:tr>
    </w:tbl>
    <w:p>
      <w:pPr>
        <w:pageBreakBefore/>
      </w:pPr>
    </w:p>
    <w:p>
      <w:pPr>
        <w:pStyle w:val="Heading1"/>
        <w:spacing w:after="200" w:before="480"/>
      </w:pPr>
      <w:r>
        <w:rPr>
          <w:rFonts w:ascii="Arial" w:cs="Arial" w:eastAsia="Arial" w:hAnsi="Arial"/>
          <w:b/>
          <w:bCs/>
          <w:color w:val="1B3A5C"/>
        </w:rPr>
        <w:t xml:space="preserve">L9 — Monitoring &amp; Observability-Schicht</w:t>
      </w:r>
    </w:p>
    <w:p>
      <w:pPr>
        <w:spacing w:before="160" w:after="80"/>
      </w:pPr>
    </w:p>
    <w:p>
      <w:pPr>
        <w:spacing w:before="80" w:after="40"/>
        <w:jc w:val="center"/>
      </w:pPr>
      <w:r>
        <w:drawing>
          <wp:inline xmlns:a="http://schemas.openxmlformats.org/drawingml/2006/main" xmlns:pic="http://schemas.openxmlformats.org/drawingml/2006/picture">
            <wp:extent cx="5760720" cy="2456778"/>
            <wp:docPr id="13" name="Picture 13"/>
            <wp:cNvGraphicFramePr>
              <a:graphicFrameLocks noChangeAspect="1"/>
            </wp:cNvGraphicFramePr>
            <a:graphic>
              <a:graphicData uri="http://schemas.openxmlformats.org/drawingml/2006/picture">
                <pic:pic>
                  <pic:nvPicPr>
                    <pic:cNvPr id="0" name="l9_monitoring.png"/>
                    <pic:cNvPicPr/>
                  </pic:nvPicPr>
                  <pic:blipFill>
                    <a:blip r:embed="rId22"/>
                    <a:stretch>
                      <a:fillRect/>
                    </a:stretch>
                  </pic:blipFill>
                  <pic:spPr>
                    <a:xfrm>
                      <a:off x="0" y="0"/>
                      <a:ext cx="5760720" cy="2456778"/>
                    </a:xfrm>
                    <a:prstGeom prst="rect"/>
                  </pic:spPr>
                </pic:pic>
              </a:graphicData>
            </a:graphic>
          </wp:inline>
        </w:drawing>
      </w:r>
    </w:p>
    <w:p>
      <w:pPr>
        <w:spacing w:before="40" w:after="280"/>
        <w:jc w:val="center"/>
      </w:pPr>
      <w:r>
        <w:rPr>
          <w:i/>
          <w:color w:val="8898AA"/>
          <w:sz w:val="18"/>
        </w:rPr>
        <w:t>Abb. 13: L9 — Observability-Stack (Prometheus → Grafana → PagerDuty)</w:t>
      </w:r>
    </w:p>
    <w:p>
      <w:pPr>
        <w:pBdr>
          <w:bottom w:val="single" w:color="0F6E56"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Monitoring-Schicht schafft vollständige Sichtbarkeit über alle anderen Schichten. Prometheus sammelt Metriken, Loki aggregiert Logs, Grafana visualisiert alles in einheitlichen Dashboards. PagerDuty stellt sicher, dass kritische Alerts zuverlässig die richtige Person erreichen.</w:t>
      </w:r>
    </w:p>
    <w:p>
      <w:pPr>
        <w:spacing w:after="0" w:before="80"/>
      </w:pPr>
    </w:p>
    <w:p>
      <w:pPr>
        <w:pStyle w:val="Heading2"/>
        <w:spacing w:after="100" w:before="280"/>
      </w:pPr>
      <w:r>
        <w:rPr>
          <w:rFonts w:ascii="Arial" w:cs="Arial" w:eastAsia="Arial" w:hAnsi="Arial"/>
          <w:b/>
          <w:bCs/>
          <w:color w:val="0F6E56"/>
        </w:rPr>
        <w:t xml:space="preserve">Prometheus — Metriken-Schema</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2026"/>
        <w:gridCol w:w="1600"/>
        <w:gridCol w:w="2200"/>
      </w:tblGrid>
      <w:tr>
        <w:tc>
          <w:tcPr>
            <w:tcW w:type="dxa" w:w="32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Metrik</w:t>
            </w:r>
          </w:p>
        </w:tc>
        <w:tc>
          <w:tcPr>
            <w:tcW w:type="dxa" w:w="2026"/>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Typ</w:t>
            </w:r>
          </w:p>
        </w:tc>
        <w:tc>
          <w:tcPr>
            <w:tcW w:type="dxa" w:w="16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Labels</w:t>
            </w:r>
          </w:p>
        </w:tc>
        <w:tc>
          <w:tcPr>
            <w:tcW w:type="dxa" w:w="22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Alert-Schwellenwert</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openclaw_messages_total</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channel, model</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openclaw_llm_latency_seconds</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Histogram</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model, tier</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P95 &gt; 8s = Warning, &gt; 15s = Critical</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openclaw_token_usage_total</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model, type (input/output)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Anomalie &gt; 3σ = Alert</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openclaw_channel_errors_total</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channel, error_code</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Rate &gt; 5/min = Warning</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openclaw_tenant_uptime_ratio</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Gauge</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sla_tier</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&lt; 0.995 = SLA-Verletzung-Alert</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openclaw_queue_depth</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Gauge</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queue_name</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Depth &gt; 1000 = Warning, &gt; 5000 = Critical</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openclaw_llm_cost_usd_total</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model</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Budget-Überschreitung = Alert</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k8s_pod_restart_total</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namespace, pod</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&gt; 3 Restarts/Stunde = Critical</w:t>
            </w:r>
          </w:p>
        </w:tc>
      </w:tr>
    </w:tbl>
    <w:p>
      <w:pPr>
        <w:spacing w:after="0" w:before="80"/>
      </w:pPr>
    </w:p>
    <w:p>
      <w:pPr>
        <w:pStyle w:val="Heading2"/>
        <w:spacing w:after="100" w:before="280"/>
      </w:pPr>
      <w:r>
        <w:rPr>
          <w:rFonts w:ascii="Arial" w:cs="Arial" w:eastAsia="Arial" w:hAnsi="Arial"/>
          <w:b/>
          <w:bCs/>
          <w:color w:val="0F6E56"/>
        </w:rPr>
        <w:t xml:space="preserve">Grafana — Dashboard-Übersicht</w:t>
      </w:r>
    </w:p>
    <w:p>
      <w:pPr>
        <w:pStyle w:val="ListParagraph"/>
        <w:numPr>
          <w:ilvl w:val="0"/>
          <w:numId w:val="2"/>
        </w:numPr>
        <w:spacing w:after="40" w:before="40"/>
      </w:pPr>
      <w:r>
        <w:rPr>
          <w:rFonts w:ascii="Arial" w:cs="Arial" w:eastAsia="Arial" w:hAnsi="Arial"/>
          <w:color w:val="333F52"/>
          <w:sz w:val="22"/>
          <w:szCs w:val="22"/>
        </w:rPr>
        <w:t xml:space="preserve">Business-Overview: MRR-Trend (30 Tage), aktive Mandanten, neue Mandanten, Churn-Rate, Top-Kunden nach Token-Verbrauch</w:t>
      </w:r>
    </w:p>
    <w:p>
      <w:pPr>
        <w:pStyle w:val="ListParagraph"/>
        <w:numPr>
          <w:ilvl w:val="0"/>
          <w:numId w:val="2"/>
        </w:numPr>
        <w:spacing w:after="40" w:before="40"/>
      </w:pPr>
      <w:r>
        <w:rPr>
          <w:rFonts w:ascii="Arial" w:cs="Arial" w:eastAsia="Arial" w:hAnsi="Arial"/>
          <w:color w:val="333F52"/>
          <w:sz w:val="22"/>
          <w:szCs w:val="22"/>
        </w:rPr>
        <w:t xml:space="preserve">SLA-Compliance: Uptime je Mandant und SLA-Tier (Starter/Professional/Enterprise), offene SLA-Verletzungen, durchschnittliche Response-Zeit</w:t>
      </w:r>
    </w:p>
    <w:p>
      <w:pPr>
        <w:pStyle w:val="ListParagraph"/>
        <w:numPr>
          <w:ilvl w:val="0"/>
          <w:numId w:val="2"/>
        </w:numPr>
        <w:spacing w:after="40" w:before="40"/>
      </w:pPr>
      <w:r>
        <w:rPr>
          <w:rFonts w:ascii="Arial" w:cs="Arial" w:eastAsia="Arial" w:hAnsi="Arial"/>
          <w:color w:val="333F52"/>
          <w:sz w:val="22"/>
          <w:szCs w:val="22"/>
        </w:rPr>
        <w:t xml:space="preserve">LLM-Monitoring: Anfragen je Modell und Provider, Latenz-Histogramme (P50/P95/P99), Provider-Verfügbarkeit, Fallback-Aktivierungen</w:t>
      </w:r>
    </w:p>
    <w:p>
      <w:pPr>
        <w:pStyle w:val="ListParagraph"/>
        <w:numPr>
          <w:ilvl w:val="0"/>
          <w:numId w:val="2"/>
        </w:numPr>
        <w:spacing w:after="40" w:before="40"/>
      </w:pPr>
      <w:r>
        <w:rPr>
          <w:rFonts w:ascii="Arial" w:cs="Arial" w:eastAsia="Arial" w:hAnsi="Arial"/>
          <w:color w:val="333F52"/>
          <w:sz w:val="22"/>
          <w:szCs w:val="22"/>
        </w:rPr>
        <w:t xml:space="preserve">Token-Analytics: Verbrauch je Mandant, Kosten-Trend, Modell-Distribution, Budget-Alerts, Prompt-Caching-Ratio</w:t>
      </w:r>
    </w:p>
    <w:p>
      <w:pPr>
        <w:pStyle w:val="ListParagraph"/>
        <w:numPr>
          <w:ilvl w:val="0"/>
          <w:numId w:val="2"/>
        </w:numPr>
        <w:spacing w:after="40" w:before="40"/>
      </w:pPr>
      <w:r>
        <w:rPr>
          <w:rFonts w:ascii="Arial" w:cs="Arial" w:eastAsia="Arial" w:hAnsi="Arial"/>
          <w:color w:val="333F52"/>
          <w:sz w:val="22"/>
          <w:szCs w:val="22"/>
        </w:rPr>
        <w:t xml:space="preserve">Infrastruktur: CPU/RAM/Disk je Node, Pod-Status, Queue-Tiefe, Redis-Memory, PostgreSQL-Queries/Sec</w:t>
      </w:r>
    </w:p>
    <w:p>
      <w:pPr>
        <w:pStyle w:val="ListParagraph"/>
        <w:numPr>
          <w:ilvl w:val="0"/>
          <w:numId w:val="2"/>
        </w:numPr>
        <w:spacing w:after="40" w:before="40"/>
      </w:pPr>
      <w:r>
        <w:rPr>
          <w:rFonts w:ascii="Arial" w:cs="Arial" w:eastAsia="Arial" w:hAnsi="Arial"/>
          <w:color w:val="333F52"/>
          <w:sz w:val="22"/>
          <w:szCs w:val="22"/>
        </w:rPr>
        <w:t xml:space="preserve">Security: Fehlgeschlagene Authentifizierungen, Rate-Limit-Treffer, WAF-Blocks, Vault-Secret-Zugriffe</w:t>
      </w:r>
    </w:p>
    <w:p>
      <w:pPr>
        <w:spacing w:after="0" w:before="80"/>
      </w:pPr>
    </w:p>
    <w:p>
      <w:pPr>
        <w:pStyle w:val="Heading2"/>
        <w:spacing w:after="100" w:before="280"/>
      </w:pPr>
      <w:r>
        <w:rPr>
          <w:rFonts w:ascii="Arial" w:cs="Arial" w:eastAsia="Arial" w:hAnsi="Arial"/>
          <w:b/>
          <w:bCs/>
          <w:color w:val="0F6E56"/>
        </w:rPr>
        <w:t xml:space="preserve">Alertmanager — Routing-Konfiguration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1826"/>
        <w:gridCol w:w="1600"/>
        <w:gridCol w:w="2400"/>
      </w:tblGrid>
      <w:tr>
        <w:tc>
          <w:tcPr>
            <w:tcW w:type="dxa" w:w="14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Priorität</w:t>
            </w:r>
          </w:p>
        </w:tc>
        <w:tc>
          <w:tcPr>
            <w:tcW w:type="dxa" w:w="18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Trigger</w:t>
            </w:r>
          </w:p>
        </w:tc>
        <w:tc>
          <w:tcPr>
            <w:tcW w:type="dxa" w:w="1826"/>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Reaktionszeit</w:t>
            </w:r>
          </w:p>
        </w:tc>
        <w:tc>
          <w:tcPr>
            <w:tcW w:type="dxa" w:w="16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Kanal</w:t>
            </w:r>
          </w:p>
        </w:tc>
        <w:tc>
          <w:tcPr>
            <w:tcW w:type="dxa" w:w="24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Eskalation</w:t>
            </w:r>
          </w:p>
        </w:tc>
      </w:tr>
      <w:tr>
        <w:tc>
          <w:tcPr>
            <w:tcW w:type="dxa" w:w="14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center"/>
            </w:pPr>
            <w:r>
              <w:rPr>
                <w:rFonts w:ascii="Arial" w:cs="Arial" w:eastAsia="Arial" w:hAnsi="Arial"/>
                <w:b/>
                <w:bCs/>
                <w:color w:val="993C1D"/>
                <w:sz w:val="20"/>
                <w:szCs w:val="20"/>
              </w:rPr>
              <w:t xml:space="preserve">P1 — Critical</w:t>
            </w:r>
          </w:p>
        </w:tc>
        <w:tc>
          <w:tcPr>
            <w:tcW w:type="dxa" w:w="18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Totalausfall, Datenpanne, Sicherheitsincident</w:t>
            </w:r>
          </w:p>
        </w:tc>
        <w:tc>
          <w:tcPr>
            <w:tcW w:type="dxa" w:w="1826"/>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center"/>
            </w:pPr>
            <w:r>
              <w:rPr>
                <w:rFonts w:ascii="Arial" w:cs="Arial" w:eastAsia="Arial" w:hAnsi="Arial"/>
                <w:b/>
                <w:bCs/>
                <w:color w:val="993C1D"/>
                <w:sz w:val="20"/>
                <w:szCs w:val="20"/>
              </w:rPr>
              <w:t xml:space="preserve">&lt; 5 Minuten</w:t>
            </w:r>
          </w:p>
        </w:tc>
        <w:tc>
          <w:tcPr>
            <w:tcW w:type="dxa" w:w="16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PagerDuty + SMS</w:t>
            </w:r>
          </w:p>
        </w:tc>
        <w:tc>
          <w:tcPr>
            <w:tcW w:type="dxa" w:w="24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 On-Call → GF bei &gt; 30 Min.</w:t>
            </w:r>
          </w:p>
        </w:tc>
      </w:tr>
      <w:tr>
        <w:tc>
          <w:tcPr>
            <w:tcW w:type="dxa" w:w="14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P2 — High</w:t>
            </w:r>
          </w:p>
        </w:tc>
        <w:tc>
          <w:tcPr>
            <w:tcW w:type="dxa" w:w="18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left"/>
            </w:pPr>
            <w:r>
              <w:rPr>
                <w:rFonts w:ascii="Arial" w:cs="Arial" w:eastAsia="Arial" w:hAnsi="Arial"/>
                <w:b w:val="false"/>
                <w:bCs w:val="false"/>
                <w:color w:val="854F0B"/>
                <w:sz w:val="20"/>
                <w:szCs w:val="20"/>
              </w:rPr>
              <w:t xml:space="preserve">Einzelner Mandant ausgefallen, SLA verletzt</w:t>
            </w:r>
          </w:p>
        </w:tc>
        <w:tc>
          <w:tcPr>
            <w:tcW w:type="dxa" w:w="1826"/>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&lt; 15 Minuten</w:t>
            </w:r>
          </w:p>
        </w:tc>
        <w:tc>
          <w:tcPr>
            <w:tcW w:type="dxa" w:w="16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left"/>
            </w:pPr>
            <w:r>
              <w:rPr>
                <w:rFonts w:ascii="Arial" w:cs="Arial" w:eastAsia="Arial" w:hAnsi="Arial"/>
                <w:b w:val="false"/>
                <w:bCs w:val="false"/>
                <w:color w:val="854F0B"/>
                <w:sz w:val="20"/>
                <w:szCs w:val="20"/>
              </w:rPr>
              <w:t xml:space="preserve">PagerDuty</w:t>
            </w:r>
          </w:p>
        </w:tc>
        <w:tc>
          <w:tcPr>
            <w:tcW w:type="dxa" w:w="24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 On-Call → Senior DevOps bei &gt; 1h</w:t>
            </w:r>
          </w:p>
        </w:tc>
      </w:tr>
      <w:tr>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P3 — Medium</w:t>
            </w:r>
          </w:p>
        </w:tc>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Erhöhte Latenz, Queue-Stau, Budget-Alert</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&lt; 2 Stunden</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Slack #alerts</w:t>
            </w:r>
          </w:p>
        </w:tc>
        <w:tc>
          <w:tcPr>
            <w:tcW w:type="dxa" w:w="2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DevOps-Team — kein On-Call</w:t>
            </w:r>
          </w:p>
        </w:tc>
      </w:tr>
      <w:tr>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P4 — Low</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Info-Alerts, geplante Wartungen, Updates</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Business Hours</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E-Mail</w:t>
            </w:r>
          </w:p>
        </w:tc>
        <w:tc>
          <w:tcPr>
            <w:tcW w:type="dxa" w:w="2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DevOps-Team nach Priorität</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185FA5"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L10</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185FA5"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Multi-Tenancy-Schicht</w:t>
            </w:r>
          </w:p>
          <w:p>
            <w:r>
              <w:rPr>
                <w:rFonts w:ascii="Arial" w:cs="Arial" w:eastAsia="Arial" w:hAnsi="Arial"/>
                <w:i/>
                <w:iCs/>
                <w:color w:val="FFFFFF"/>
                <w:sz w:val="22"/>
                <w:szCs w:val="22"/>
              </w:rPr>
              <w:t xml:space="preserve">k3s Namespaces · Terraform · Helm · RBAC · Lifecycle</w:t>
            </w:r>
          </w:p>
        </w:tc>
      </w:tr>
    </w:tbl>
    <w:p>
      <w:pPr>
        <w:pageBreakBefore/>
      </w:pPr>
    </w:p>
    <w:p>
      <w:pPr>
        <w:pStyle w:val="Heading1"/>
        <w:spacing w:after="200" w:before="480"/>
      </w:pPr>
      <w:r>
        <w:rPr>
          <w:rFonts w:ascii="Arial" w:cs="Arial" w:eastAsia="Arial" w:hAnsi="Arial"/>
          <w:b/>
          <w:bCs/>
          <w:color w:val="1B3A5C"/>
        </w:rPr>
        <w:t xml:space="preserve">L10 — Multi-Tenancy-Schicht</w:t>
      </w:r>
    </w:p>
    <w:p>
      <w:pPr>
        <w:spacing w:before="160" w:after="80"/>
      </w:pPr>
    </w:p>
    <w:p>
      <w:pPr>
        <w:spacing w:before="80" w:after="40"/>
        <w:jc w:val="center"/>
      </w:pPr>
      <w:r>
        <w:drawing>
          <wp:inline xmlns:a="http://schemas.openxmlformats.org/drawingml/2006/main" xmlns:pic="http://schemas.openxmlformats.org/drawingml/2006/picture">
            <wp:extent cx="5760720" cy="1143672"/>
            <wp:docPr id="14" name="Picture 14"/>
            <wp:cNvGraphicFramePr>
              <a:graphicFrameLocks noChangeAspect="1"/>
            </wp:cNvGraphicFramePr>
            <a:graphic>
              <a:graphicData uri="http://schemas.openxmlformats.org/drawingml/2006/picture">
                <pic:pic>
                  <pic:nvPicPr>
                    <pic:cNvPr id="0" name="l10_lifecycle.png"/>
                    <pic:cNvPicPr/>
                  </pic:nvPicPr>
                  <pic:blipFill>
                    <a:blip r:embed="rId23"/>
                    <a:stretch>
                      <a:fillRect/>
                    </a:stretch>
                  </pic:blipFill>
                  <pic:spPr>
                    <a:xfrm>
                      <a:off x="0" y="0"/>
                      <a:ext cx="5760720" cy="1143672"/>
                    </a:xfrm>
                    <a:prstGeom prst="rect"/>
                  </pic:spPr>
                </pic:pic>
              </a:graphicData>
            </a:graphic>
          </wp:inline>
        </w:drawing>
      </w:r>
    </w:p>
    <w:p>
      <w:pPr>
        <w:spacing w:before="40" w:after="280"/>
        <w:jc w:val="center"/>
      </w:pPr>
      <w:r>
        <w:rPr>
          <w:i/>
          <w:color w:val="8898AA"/>
          <w:sz w:val="18"/>
        </w:rPr>
        <w:t>Abb. 14: L10 — Tenant-Lifecycle: 5 Zustände mit Übergängen</w:t>
      </w:r>
    </w:p>
    <w:p>
      <w:pPr>
        <w:pBdr>
          <w:bottom w:val="single" w:color="185FA5"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Multi-Tenancy-Architektur stellt sicher, dass jeder Mandant vollständig vom nächsten isoliert ist — auf Netzwerk-, Applikations-, Datenbank- und Storage-Ebene. Ein Mandant entspricht einem k3s-Namespace mit definierten ResourceQuotas und NetworkPolicies.</w:t>
      </w:r>
    </w:p>
    <w:p>
      <w:pPr>
        <w:spacing w:after="0" w:before="80"/>
      </w:pPr>
    </w:p>
    <w:p>
      <w:pPr>
        <w:pStyle w:val="Heading2"/>
        <w:spacing w:after="100" w:before="280"/>
      </w:pPr>
      <w:r>
        <w:rPr>
          <w:rFonts w:ascii="Arial" w:cs="Arial" w:eastAsia="Arial" w:hAnsi="Arial"/>
          <w:b/>
          <w:bCs/>
          <w:color w:val="185FA5"/>
        </w:rPr>
        <w:t xml:space="preserve">Mandanten-Lifecycle — Technischer Ablauf</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000"/>
        <w:gridCol w:w="2626"/>
        <w:gridCol w:w="3700"/>
      </w:tblGrid>
      <w:tr>
        <w:tc>
          <w:tcPr>
            <w:tcW w:type="dxa" w:w="7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Phase</w:t>
            </w:r>
          </w:p>
        </w:tc>
        <w:tc>
          <w:tcPr>
            <w:tcW w:type="dxa" w:w="20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Trigger</w:t>
            </w:r>
          </w:p>
        </w:tc>
        <w:tc>
          <w:tcPr>
            <w:tcW w:type="dxa" w:w="2626"/>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Automatisierung</w:t>
            </w:r>
          </w:p>
        </w:tc>
        <w:tc>
          <w:tcPr>
            <w:tcW w:type="dxa" w:w="37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Technische Aktionen</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1 — Provision</w:t>
            </w:r>
          </w:p>
        </w:tc>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Stripe Webhook / NextGen-Admin</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Terraform IaC + Helm</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k8s-Namespace erstellt, ResourceQuota gesetzt, NetworkPolicy deployed, OpenClaw-Instanz via Helm gestartet, PostgreSQL-Schema angelegt, Redis-Prefix reserviert, Vault-Secrets erstellt</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2 — Active</w:t>
            </w:r>
          </w:p>
        </w:tc>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Onboarding abgeschlossen</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Monitoring-Integration</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Prometheus-Scraping aktiviert, Grafana-Dashboard-Row angelegt, PagerDuty-Integration geprüft, erster Health-Check</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3 — Suspended</w:t>
            </w:r>
          </w:p>
        </w:tc>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Zahlungsverzug / Anfrage</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Automatisch nach 14 Tagen</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Kanäle deaktiviert (Traffic stoppt), Instanz skaliert auf 0 (kein CPU-Verbrauch), Daten erhalten, Login noch möglich</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4 — Terminated</w:t>
            </w:r>
          </w:p>
        </w:tc>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Kündigung bestätigt</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DSGVO-Exit-Timer startet</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Admin-Zugang gesperrt, Export-Link versandt (30 Tage Frist), Billing gestoppt, Instanz-Pods gelöscht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5 — Deleted</w:t>
            </w:r>
          </w:p>
        </w:tc>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30 Tage nach Termination</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Automatisch (Cron-Job)</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PostgreSQL-Schema DROP CASCADE, Redis-Keys gelöscht, S3-Objekte gelöscht, Vault-Secrets widerrufen, Namespace gelöscht, Löschprotokoll-PDF erstellt</w:t>
            </w:r>
          </w:p>
        </w:tc>
      </w:tr>
    </w:tbl>
    <w:p>
      <w:pPr>
        <w:spacing w:after="0" w:before="80"/>
      </w:pPr>
    </w:p>
    <w:p>
      <w:pPr>
        <w:pStyle w:val="Heading2"/>
        <w:spacing w:after="100" w:before="280"/>
      </w:pPr>
      <w:r>
        <w:rPr>
          <w:rFonts w:ascii="Arial" w:cs="Arial" w:eastAsia="Arial" w:hAnsi="Arial"/>
          <w:b/>
          <w:bCs/>
          <w:color w:val="185FA5"/>
        </w:rPr>
        <w:t xml:space="preserve">ResourceQuotas je SLA-Paket</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626"/>
        <w:gridCol w:w="1600"/>
        <w:gridCol w:w="1800"/>
      </w:tblGrid>
      <w:tr>
        <w:tc>
          <w:tcPr>
            <w:tcW w:type="dxa" w:w="22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Resource</w:t>
            </w:r>
          </w:p>
        </w:tc>
        <w:tc>
          <w:tcPr>
            <w:tcW w:type="dxa" w:w="18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Starter</w:t>
            </w:r>
          </w:p>
        </w:tc>
        <w:tc>
          <w:tcPr>
            <w:tcW w:type="dxa" w:w="1626"/>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Professional</w:t>
            </w:r>
          </w:p>
        </w:tc>
        <w:tc>
          <w:tcPr>
            <w:tcW w:type="dxa" w:w="16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Enterprise</w:t>
            </w:r>
          </w:p>
        </w:tc>
        <w:tc>
          <w:tcPr>
            <w:tcW w:type="dxa" w:w="18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Sovereign</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CPU Requests/Limits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0.25 / 0.5 vCPU</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0.5 / 1.0 vCPU</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 / 2.0 vCPU</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Dedizierter Node</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Memory Requests/Limits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256 MB / 512 MB</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512 MB / 1 GB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GB / 2 GB</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Dedizierter Node</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Maximale Replicas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Konfigurierbar</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Gleichz. Konversationen</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50</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200</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Unbegrenzt</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Storage (PostgreSQL-Schema)</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GB</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 GB</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Dedizierte DB</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Redis-Memory-Limit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50 MB</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200 MB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500 MB</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6B1A1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L11</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6B1A1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Integrations-Schicht</w:t>
            </w:r>
          </w:p>
          <w:p>
            <w:r>
              <w:rPr>
                <w:rFonts w:ascii="Arial" w:cs="Arial" w:eastAsia="Arial" w:hAnsi="Arial"/>
                <w:i/>
                <w:iCs/>
                <w:color w:val="FFFFFF"/>
                <w:sz w:val="22"/>
                <w:szCs w:val="22"/>
              </w:rPr>
              <w:t xml:space="preserve">REST API · Webhooks · Shopify · DATEV · Stripe · ERP</w:t>
            </w:r>
          </w:p>
        </w:tc>
      </w:tr>
    </w:tbl>
    <w:p>
      <w:pPr>
        <w:pageBreakBefore/>
      </w:pPr>
    </w:p>
    <w:p>
      <w:pPr>
        <w:pStyle w:val="Heading1"/>
        <w:spacing w:after="200" w:before="480"/>
      </w:pPr>
      <w:r>
        <w:rPr>
          <w:rFonts w:ascii="Arial" w:cs="Arial" w:eastAsia="Arial" w:hAnsi="Arial"/>
          <w:b/>
          <w:bCs/>
          <w:color w:val="1B3A5C"/>
        </w:rPr>
        <w:t xml:space="preserve">L11 — Integrations- &amp; API-Schicht</w:t>
      </w:r>
    </w:p>
    <w:p>
      <w:pPr>
        <w:spacing w:before="160" w:after="80"/>
      </w:pPr>
    </w:p>
    <w:p>
      <w:pPr>
        <w:spacing w:before="80" w:after="40"/>
        <w:jc w:val="center"/>
      </w:pPr>
      <w:r>
        <w:drawing>
          <wp:inline xmlns:a="http://schemas.openxmlformats.org/drawingml/2006/main" xmlns:pic="http://schemas.openxmlformats.org/drawingml/2006/picture">
            <wp:extent cx="5760720" cy="2456778"/>
            <wp:docPr id="15" name="Picture 15"/>
            <wp:cNvGraphicFramePr>
              <a:graphicFrameLocks noChangeAspect="1"/>
            </wp:cNvGraphicFramePr>
            <a:graphic>
              <a:graphicData uri="http://schemas.openxmlformats.org/drawingml/2006/picture">
                <pic:pic>
                  <pic:nvPicPr>
                    <pic:cNvPr id="0" name="l11_integrations.png"/>
                    <pic:cNvPicPr/>
                  </pic:nvPicPr>
                  <pic:blipFill>
                    <a:blip r:embed="rId24"/>
                    <a:stretch>
                      <a:fillRect/>
                    </a:stretch>
                  </pic:blipFill>
                  <pic:spPr>
                    <a:xfrm>
                      <a:off x="0" y="0"/>
                      <a:ext cx="5760720" cy="2456778"/>
                    </a:xfrm>
                    <a:prstGeom prst="rect"/>
                  </pic:spPr>
                </pic:pic>
              </a:graphicData>
            </a:graphic>
          </wp:inline>
        </w:drawing>
      </w:r>
    </w:p>
    <w:p>
      <w:pPr>
        <w:spacing w:before="40" w:after="280"/>
        <w:jc w:val="center"/>
      </w:pPr>
      <w:r>
        <w:rPr>
          <w:i/>
          <w:color w:val="8898AA"/>
          <w:sz w:val="18"/>
        </w:rPr>
        <w:t>Abb. 15: L11 — Integrations-Hub mit externen Systemen</w:t>
      </w:r>
    </w:p>
    <w:p>
      <w:pPr>
        <w:pBdr>
          <w:bottom w:val="single" w:color="6B1A1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Integrations-Schicht verbindet OpenClaw Enterprise mit externen Systemen. Das REST-API-v1 ermöglicht programmatischen Zugriff, Webhooks informieren externe Systeme über Events, und vorgefertigte Konnektoren vereinfachen gängige ERP/E-Commerce-Integrationen.</w:t>
      </w:r>
    </w:p>
    <w:p>
      <w:pPr>
        <w:spacing w:after="0" w:before="80"/>
      </w:pPr>
    </w:p>
    <w:p>
      <w:pPr>
        <w:pStyle w:val="Heading2"/>
        <w:spacing w:after="100" w:before="280"/>
      </w:pPr>
      <w:r>
        <w:rPr>
          <w:rFonts w:ascii="Arial" w:cs="Arial" w:eastAsia="Arial" w:hAnsi="Arial"/>
          <w:b/>
          <w:bCs/>
          <w:color w:val="6B1A1A"/>
        </w:rPr>
        <w:t xml:space="preserve">REST API v1 — Kernendpunkte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200"/>
        <w:gridCol w:w="1626"/>
        <w:gridCol w:w="1600"/>
        <w:gridCol w:w="2900"/>
      </w:tblGrid>
      <w:tr>
        <w:tc>
          <w:tcPr>
            <w:tcW w:type="dxa" w:w="7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Method</w:t>
            </w:r>
          </w:p>
        </w:tc>
        <w:tc>
          <w:tcPr>
            <w:tcW w:type="dxa" w:w="22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Endpoint</w:t>
            </w:r>
          </w:p>
        </w:tc>
        <w:tc>
          <w:tcPr>
            <w:tcW w:type="dxa" w:w="1626"/>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Auth</w:t>
            </w:r>
          </w:p>
        </w:tc>
        <w:tc>
          <w:tcPr>
            <w:tcW w:type="dxa" w:w="16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Rate-Limit</w:t>
            </w:r>
          </w:p>
        </w:tc>
        <w:tc>
          <w:tcPr>
            <w:tcW w:type="dxa" w:w="29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Beschreibung</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/api/v1/messages/send</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API-Key</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60/Min.</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Nachricht über konfigurierten Kanal senden</w:t>
            </w:r>
          </w:p>
        </w:tc>
      </w:tr>
      <w:tr>
        <w:tc>
          <w:tcPr>
            <w:tcW w:type="dxa" w:w="700"/>
            <w:tcBorders>
              <w:top w:val="single" w:color="DDE3EC" w:sz="1"/>
              <w:left w:val="single" w:color="DDE3EC" w:sz="1"/>
              <w:bottom w:val="single" w:color="DDE3EC" w:sz="1"/>
              <w:right w:val="single" w:color="DDE3EC" w:sz="1"/>
            </w:tcBorders>
            <w:shd w:fill="E6F1FB" w:val="clear"/>
            <w:tcMar>
              <w:top w:type="dxa" w:w="60"/>
              <w:left w:type="dxa" w:w="80"/>
              <w:bottom w:type="dxa" w:w="60"/>
              <w:right w:type="dxa" w:w="80"/>
            </w:tcMar>
          </w:tcPr>
          <w:p>
            <w:pPr>
              <w:jc w:val="center"/>
            </w:pPr>
            <w:r>
              <w:rPr>
                <w:rFonts w:ascii="Courier New" w:cs="Courier New" w:eastAsia="Courier New" w:hAnsi="Courier New"/>
                <w:b/>
                <w:bCs/>
                <w:color w:val="185FA5"/>
                <w:sz w:val="18"/>
                <w:szCs w:val="18"/>
              </w:rPr>
              <w:t xml:space="preserve">GET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/api/v1/conversations</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120/Min.</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Konversationsliste mit Paginierung</w:t>
            </w:r>
          </w:p>
        </w:tc>
      </w:tr>
      <w:tr>
        <w:tc>
          <w:tcPr>
            <w:tcW w:type="dxa" w:w="700"/>
            <w:tcBorders>
              <w:top w:val="single" w:color="DDE3EC" w:sz="1"/>
              <w:left w:val="single" w:color="DDE3EC" w:sz="1"/>
              <w:bottom w:val="single" w:color="DDE3EC" w:sz="1"/>
              <w:right w:val="single" w:color="DDE3EC" w:sz="1"/>
            </w:tcBorders>
            <w:shd w:fill="E6F1FB" w:val="clear"/>
            <w:tcMar>
              <w:top w:type="dxa" w:w="60"/>
              <w:left w:type="dxa" w:w="80"/>
              <w:bottom w:type="dxa" w:w="60"/>
              <w:right w:type="dxa" w:w="80"/>
            </w:tcMar>
          </w:tcPr>
          <w:p>
            <w:pPr>
              <w:jc w:val="center"/>
            </w:pPr>
            <w:r>
              <w:rPr>
                <w:rFonts w:ascii="Courier New" w:cs="Courier New" w:eastAsia="Courier New" w:hAnsi="Courier New"/>
                <w:b/>
                <w:bCs/>
                <w:color w:val="185FA5"/>
                <w:sz w:val="18"/>
                <w:szCs w:val="18"/>
              </w:rPr>
              <w:t xml:space="preserve">GET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/api/v1/tokens/usage</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60/Min.</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Token-Verbrauch nach Zeitraum, Modell, Kanal</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/api/v1/documents</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10/Min.</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Dokument für RAG hochladen und indexieren</w:t>
            </w:r>
          </w:p>
        </w:tc>
      </w:tr>
      <w:tr>
        <w:tc>
          <w:tcPr>
            <w:tcW w:type="dxa" w:w="700"/>
            <w:tcBorders>
              <w:top w:val="single" w:color="DDE3EC" w:sz="1"/>
              <w:left w:val="single" w:color="DDE3EC" w:sz="1"/>
              <w:bottom w:val="single" w:color="DDE3EC" w:sz="1"/>
              <w:right w:val="single" w:color="DDE3EC" w:sz="1"/>
            </w:tcBorders>
            <w:shd w:fill="FCEBEB" w:val="clear"/>
            <w:tcMar>
              <w:top w:type="dxa" w:w="60"/>
              <w:left w:type="dxa" w:w="80"/>
              <w:bottom w:type="dxa" w:w="60"/>
              <w:right w:type="dxa" w:w="80"/>
            </w:tcMar>
          </w:tcPr>
          <w:p>
            <w:pPr>
              <w:jc w:val="center"/>
            </w:pPr>
            <w:r>
              <w:rPr>
                <w:rFonts w:ascii="Courier New" w:cs="Courier New" w:eastAsia="Courier New" w:hAnsi="Courier New"/>
                <w:b/>
                <w:bCs/>
                <w:color w:val="993C1D"/>
                <w:sz w:val="18"/>
                <w:szCs w:val="18"/>
              </w:rPr>
              <w:t xml:space="preserve">DELETE</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/api/v1/conversations/{id}</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30/Min.</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 DSGVO-konform löschen</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/api/v1/channels/test</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10/Min.</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Test-Nachricht über Kanal senden</w:t>
            </w:r>
          </w:p>
        </w:tc>
      </w:tr>
      <w:tr>
        <w:tc>
          <w:tcPr>
            <w:tcW w:type="dxa" w:w="700"/>
            <w:tcBorders>
              <w:top w:val="single" w:color="DDE3EC" w:sz="1"/>
              <w:left w:val="single" w:color="DDE3EC" w:sz="1"/>
              <w:bottom w:val="single" w:color="DDE3EC" w:sz="1"/>
              <w:right w:val="single" w:color="DDE3EC" w:sz="1"/>
            </w:tcBorders>
            <w:shd w:fill="E6F1FB" w:val="clear"/>
            <w:tcMar>
              <w:top w:type="dxa" w:w="60"/>
              <w:left w:type="dxa" w:w="80"/>
              <w:bottom w:type="dxa" w:w="60"/>
              <w:right w:type="dxa" w:w="80"/>
            </w:tcMar>
          </w:tcPr>
          <w:p>
            <w:pPr>
              <w:jc w:val="center"/>
            </w:pPr>
            <w:r>
              <w:rPr>
                <w:rFonts w:ascii="Courier New" w:cs="Courier New" w:eastAsia="Courier New" w:hAnsi="Courier New"/>
                <w:b/>
                <w:bCs/>
                <w:color w:val="185FA5"/>
                <w:sz w:val="18"/>
                <w:szCs w:val="18"/>
              </w:rPr>
              <w:t xml:space="preserve">GET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/api/v1/health</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Unbegrenzt</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Service-Health: DB, Redis, LLM-Provider-Status</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/webhooks/stripe</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HMAC</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Unbegrenzt</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Stripe-Zahlungs-Events (checkout, invoice, subscription)</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/webhooks/whatsapp</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HMAC-SHA256</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Unbegrenzt</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Eingehende WhatsApp-Nachrichten von Meta</w:t>
            </w:r>
          </w:p>
        </w:tc>
      </w:tr>
    </w:tbl>
    <w:p>
      <w:pPr>
        <w:spacing w:after="0" w:before="80"/>
      </w:pPr>
    </w:p>
    <w:p>
      <w:pPr>
        <w:pStyle w:val="Heading2"/>
        <w:spacing w:after="100" w:before="280"/>
      </w:pPr>
      <w:r>
        <w:rPr>
          <w:rFonts w:ascii="Arial" w:cs="Arial" w:eastAsia="Arial" w:hAnsi="Arial"/>
          <w:b/>
          <w:bCs/>
          <w:color w:val="6B1A1A"/>
        </w:rPr>
        <w:t xml:space="preserve">ERP-Konnektor-Architektur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6B1A1A" w:val="clear"/>
            <w:tcMar>
              <w:top w:type="dxa" w:w="80"/>
              <w:left w:type="dxa" w:w="160"/>
              <w:bottom w:type="dxa" w:w="80"/>
              <w:right w:type="dxa" w:w="160"/>
            </w:tcMar>
          </w:tcPr>
          <w:p>
            <w:r>
              <w:rPr>
                <w:rFonts w:ascii="Arial" w:cs="Arial" w:eastAsia="Arial" w:hAnsi="Arial"/>
                <w:b/>
                <w:bCs/>
                <w:color w:val="FFFFFF"/>
                <w:sz w:val="22"/>
                <w:szCs w:val="22"/>
              </w:rPr>
              <w:t xml:space="preserve">Shopify-Integration — Datenfluss</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Konfiguration: Tenant gibt Shopify-Store-URL + Admin-API-Key im Portal ein → verschlüsselt in Vault gespeichert</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Trigger: Nutzer schreibt Schlüsselwörter (Bestellung, Status, Tracking) → Intent-Detection im LLM-System-Prompt</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Datenabruf: OpenClaw-Shopify-Skill macht GET /admin/api/2024-01/orders.json?name={order_number} → JSON-Parsing</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Antwort-Template: 'Ihre Bestellung #{nr} (Status: {status}) wird voraussichtlich am {date} geliefert.'</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Error-Handling: Bestellung nicht gefunden → 'Bitte geben Sie Ihre Bestellnummer ein (z.B. #1234)'</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DSGVO: Shopify-Kundendaten werden nicht gespeichert — nur für Antwortgenerierung genutzt (transient)</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2D6A0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L12</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2D6A0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Compliance &amp; Datenschutz-Schicht</w:t>
            </w:r>
          </w:p>
          <w:p>
            <w:r>
              <w:rPr>
                <w:rFonts w:ascii="Arial" w:cs="Arial" w:eastAsia="Arial" w:hAnsi="Arial"/>
                <w:i/>
                <w:iCs/>
                <w:color w:val="FFFFFF"/>
                <w:sz w:val="22"/>
                <w:szCs w:val="22"/>
              </w:rPr>
              <w:t xml:space="preserve">DSGVO · AI Act · BSI · Audit-Trail · Löschpipeline</w:t>
            </w:r>
          </w:p>
        </w:tc>
      </w:tr>
    </w:tbl>
    <w:p>
      <w:pPr>
        <w:pageBreakBefore/>
      </w:pPr>
    </w:p>
    <w:p>
      <w:pPr>
        <w:pStyle w:val="Heading1"/>
        <w:spacing w:after="200" w:before="480"/>
      </w:pPr>
      <w:r>
        <w:rPr>
          <w:rFonts w:ascii="Arial" w:cs="Arial" w:eastAsia="Arial" w:hAnsi="Arial"/>
          <w:b/>
          <w:bCs/>
          <w:color w:val="1B3A5C"/>
        </w:rPr>
        <w:t xml:space="preserve">L12 — Compliance &amp; Datenschutz-Schicht</w:t>
      </w:r>
    </w:p>
    <w:p>
      <w:pPr>
        <w:spacing w:before="160" w:after="80"/>
      </w:pPr>
    </w:p>
    <w:p>
      <w:pPr>
        <w:spacing w:before="80" w:after="40"/>
        <w:jc w:val="center"/>
      </w:pPr>
      <w:r>
        <w:drawing>
          <wp:inline xmlns:a="http://schemas.openxmlformats.org/drawingml/2006/main" xmlns:pic="http://schemas.openxmlformats.org/drawingml/2006/picture">
            <wp:extent cx="5760720" cy="2583852"/>
            <wp:docPr id="16" name="Picture 16"/>
            <wp:cNvGraphicFramePr>
              <a:graphicFrameLocks noChangeAspect="1"/>
            </wp:cNvGraphicFramePr>
            <a:graphic>
              <a:graphicData uri="http://schemas.openxmlformats.org/drawingml/2006/picture">
                <pic:pic>
                  <pic:nvPicPr>
                    <pic:cNvPr id="0" name="l12_dsgvo.png"/>
                    <pic:cNvPicPr/>
                  </pic:nvPicPr>
                  <pic:blipFill>
                    <a:blip r:embed="rId25"/>
                    <a:stretch>
                      <a:fillRect/>
                    </a:stretch>
                  </pic:blipFill>
                  <pic:spPr>
                    <a:xfrm>
                      <a:off x="0" y="0"/>
                      <a:ext cx="5760720" cy="2583852"/>
                    </a:xfrm>
                    <a:prstGeom prst="rect"/>
                  </pic:spPr>
                </pic:pic>
              </a:graphicData>
            </a:graphic>
          </wp:inline>
        </w:drawing>
      </w:r>
    </w:p>
    <w:p>
      <w:pPr>
        <w:spacing w:before="40" w:after="280"/>
        <w:jc w:val="center"/>
      </w:pPr>
      <w:r>
        <w:rPr>
          <w:i/>
          <w:color w:val="8898AA"/>
          <w:sz w:val="18"/>
        </w:rPr>
        <w:t>Abb. 16: L12 — DSGVO-Datenfluss und Löschpipeline</w:t>
      </w:r>
    </w:p>
    <w:p>
      <w:pPr>
        <w:pBdr>
          <w:bottom w:val="single" w:color="2D6A0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Compliance-Schicht ist keine isolierte Komponente, sondern eine Querschnitts-Funktion die alle anderen Schichten durchdringt. Sie implementiert DSGVO-Anforderungen technisch, stellt ISO-27001-konforme Audit-Trails bereit und setzt die Transparenzpflichten des EU AI Acts um.</w:t>
      </w:r>
    </w:p>
    <w:p>
      <w:pPr>
        <w:spacing w:after="0" w:before="80"/>
      </w:pPr>
    </w:p>
    <w:p>
      <w:pPr>
        <w:pStyle w:val="Heading2"/>
        <w:spacing w:after="100" w:before="280"/>
      </w:pPr>
      <w:r>
        <w:rPr>
          <w:rFonts w:ascii="Arial" w:cs="Arial" w:eastAsia="Arial" w:hAnsi="Arial"/>
          <w:b/>
          <w:bCs/>
          <w:color w:val="2D6A0A"/>
        </w:rPr>
        <w:t xml:space="preserve">DSGVO-Datenfluss-Architektur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026"/>
        <w:gridCol w:w="1800"/>
        <w:gridCol w:w="3200"/>
      </w:tblGrid>
      <w:tr>
        <w:tc>
          <w:tcPr>
            <w:tcW w:type="dxa" w:w="2000"/>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DSGVO-Artikel</w:t>
            </w:r>
          </w:p>
        </w:tc>
        <w:tc>
          <w:tcPr>
            <w:tcW w:type="dxa" w:w="2026"/>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Anforderung</w:t>
            </w:r>
          </w:p>
        </w:tc>
        <w:tc>
          <w:tcPr>
            <w:tcW w:type="dxa" w:w="1800"/>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Technologie</w:t>
            </w:r>
          </w:p>
        </w:tc>
        <w:tc>
          <w:tcPr>
            <w:tcW w:type="dxa" w:w="3200"/>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Implementierung</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6 — Rechtsgrundlage</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Verarbeitung nur mit Rechtsgrundlage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AVV + Einwilligung</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Vertragszweck als Rechtsgrundlage, AVV vor Verarbeitungsbeginn</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17 — Löschrecht</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 löschen wenn nicht mehr nötig</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CASCADE + Cron</w:t>
            </w:r>
          </w:p>
        </w:tc>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Automatische Lösch-Pipeline 30 Tage nach Kündigung</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20 — Portabilität</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 in maschinenlesbarem Format</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JSON/CSV-Export-API</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REST-Endpoint /api/v1/data/export → Async-Job → Download-Link</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25 — Privacy by Design</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Datenschutz technisch eingebaut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Pseudonymisierung</w:t>
            </w:r>
          </w:p>
        </w:tc>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Verschlüsselung, Datensparsamkeit, Short-Retention-Defaults</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28 — Auftragsverarbeitung</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AVV mit Sub-Prozessoren</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Digital-AVV im Portal</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Unterzeichnung bei Onboarding, Sub-AV-Liste in AVV-Anlage</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32 — Technische Maßnahmen</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Angemessene Sicherheit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TOM-Dokument</w:t>
            </w:r>
          </w:p>
        </w:tc>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7-Layer-Sicherheit, Penetrationstest, ISO 27001 ISMS</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33 — Meldepflicht</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72h-Meldung bei Datenpanne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BSI-Meldeportal</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IR-Playbook: automatischer Alert → 24h Erstmeldung → 72h Detail</w:t>
            </w:r>
          </w:p>
        </w:tc>
      </w:tr>
    </w:tbl>
    <w:p>
      <w:pPr>
        <w:spacing w:after="0" w:before="80"/>
      </w:pPr>
    </w:p>
    <w:p>
      <w:pPr>
        <w:pStyle w:val="Heading2"/>
        <w:spacing w:after="100" w:before="280"/>
      </w:pPr>
      <w:r>
        <w:rPr>
          <w:rFonts w:ascii="Arial" w:cs="Arial" w:eastAsia="Arial" w:hAnsi="Arial"/>
          <w:b/>
          <w:bCs/>
          <w:color w:val="2D6A0A"/>
        </w:rPr>
        <w:t xml:space="preserve">Audit-Trail — Technische Implementierung</w:t>
      </w:r>
    </w:p>
    <w:p>
      <w:pPr>
        <w:pStyle w:val="ListParagraph"/>
        <w:numPr>
          <w:ilvl w:val="0"/>
          <w:numId w:val="2"/>
        </w:numPr>
        <w:spacing w:after="40" w:before="40"/>
      </w:pPr>
      <w:r>
        <w:rPr>
          <w:rFonts w:ascii="Arial" w:cs="Arial" w:eastAsia="Arial" w:hAnsi="Arial"/>
          <w:color w:val="333F52"/>
          <w:sz w:val="22"/>
          <w:szCs w:val="22"/>
        </w:rPr>
        <w:t xml:space="preserve">Append-Only-Tabelle: tenant_{id}.audit_log hat Row-Level-Security — INSERT erlaubt, UPDATE/DELETE verboten (PostgreSQL-Policy)</w:t>
      </w:r>
    </w:p>
    <w:p>
      <w:pPr>
        <w:pStyle w:val="ListParagraph"/>
        <w:numPr>
          <w:ilvl w:val="0"/>
          <w:numId w:val="2"/>
        </w:numPr>
        <w:spacing w:after="40" w:before="40"/>
      </w:pPr>
      <w:r>
        <w:rPr>
          <w:rFonts w:ascii="Arial" w:cs="Arial" w:eastAsia="Arial" w:hAnsi="Arial"/>
          <w:color w:val="333F52"/>
          <w:sz w:val="22"/>
          <w:szCs w:val="22"/>
        </w:rPr>
        <w:t xml:space="preserve">Jeder Eintrag: actor (User-ID/Service), action (CREATE/UPDATE/DELETE/ACCESS), resource_type, resource_id, old_value_hash, new_value_hash, ip_address, user_agent, timestamp</w:t>
      </w:r>
    </w:p>
    <w:p>
      <w:pPr>
        <w:pStyle w:val="ListParagraph"/>
        <w:numPr>
          <w:ilvl w:val="0"/>
          <w:numId w:val="2"/>
        </w:numPr>
        <w:spacing w:after="40" w:before="40"/>
      </w:pPr>
      <w:r>
        <w:rPr>
          <w:rFonts w:ascii="Arial" w:cs="Arial" w:eastAsia="Arial" w:hAnsi="Arial"/>
          <w:color w:val="333F52"/>
          <w:sz w:val="22"/>
          <w:szCs w:val="22"/>
        </w:rPr>
        <w:t xml:space="preserve">Tamper-Evidence: Jeder Eintrag enthält den SHA-256-Hash des Vortrags — Manipulation erkennbar durch Hash-Chain-Prüfung</w:t>
      </w:r>
    </w:p>
    <w:p>
      <w:pPr>
        <w:pStyle w:val="ListParagraph"/>
        <w:numPr>
          <w:ilvl w:val="0"/>
          <w:numId w:val="2"/>
        </w:numPr>
        <w:spacing w:after="40" w:before="40"/>
      </w:pPr>
      <w:r>
        <w:rPr>
          <w:rFonts w:ascii="Arial" w:cs="Arial" w:eastAsia="Arial" w:hAnsi="Arial"/>
          <w:color w:val="333F52"/>
          <w:sz w:val="22"/>
          <w:szCs w:val="22"/>
        </w:rPr>
        <w:t xml:space="preserve">Archivierung: Audit-Logs werden nach 90 Tagen in Hetzner S3 archiviert (AES-256, WORM-Bucket) — für ISO-27001-Nachweise 3 Jahre aufbewahrt</w:t>
      </w:r>
    </w:p>
    <w:p>
      <w:pPr>
        <w:pStyle w:val="ListParagraph"/>
        <w:numPr>
          <w:ilvl w:val="0"/>
          <w:numId w:val="2"/>
        </w:numPr>
        <w:spacing w:after="40" w:before="40"/>
      </w:pPr>
      <w:r>
        <w:rPr>
          <w:rFonts w:ascii="Arial" w:cs="Arial" w:eastAsia="Arial" w:hAnsi="Arial"/>
          <w:color w:val="333F52"/>
          <w:sz w:val="22"/>
          <w:szCs w:val="22"/>
        </w:rPr>
        <w:t xml:space="preserve">API-Zugriff: GET /api/v1/audit-log — Nur für Mandanten-Admins mit gesonderter Berechtigung, gefiltert nach Zeitraum und Resource</w:t>
      </w:r>
    </w:p>
    <w:p>
      <w:pPr>
        <w:spacing w:after="0" w:before="80"/>
      </w:pPr>
    </w:p>
    <w:p>
      <w:pPr>
        <w:pStyle w:val="Heading2"/>
        <w:spacing w:after="100" w:before="280"/>
      </w:pPr>
      <w:r>
        <w:rPr>
          <w:rFonts w:ascii="Arial" w:cs="Arial" w:eastAsia="Arial" w:hAnsi="Arial"/>
          <w:b/>
          <w:bCs/>
          <w:color w:val="2D6A0A"/>
        </w:rPr>
        <w:t xml:space="preserve">EU AI Act Art. 50 — KI-Transparenz-Implementierung</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2D6A0A" w:val="clear"/>
            <w:tcMar>
              <w:top w:type="dxa" w:w="80"/>
              <w:left w:type="dxa" w:w="160"/>
              <w:bottom w:type="dxa" w:w="80"/>
              <w:right w:type="dxa" w:w="160"/>
            </w:tcMar>
          </w:tcPr>
          <w:p>
            <w:r>
              <w:rPr>
                <w:rFonts w:ascii="Arial" w:cs="Arial" w:eastAsia="Arial" w:hAnsi="Arial"/>
                <w:b/>
                <w:bCs/>
                <w:color w:val="FFFFFF"/>
                <w:sz w:val="22"/>
                <w:szCs w:val="22"/>
              </w:rPr>
              <w:t xml:space="preserve">Technische Umsetzung der Transparenzpflicht</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Pflicht-Disclaimer im System-Prompt: Jede OpenClaw-Instanz erhält unveränderlich vorangestellt: 'SYSTEM: Du bist ein KI-gestützter Assistent. Weise Nutzer bei erstem Kontakt darauf hin.'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Erstkontakt-Erkennung: Redis-Flag 'ai_disclosed:{userId}:{channelId}' — bei false → Disclaimer-Nachricht senden, Flag auf true setzen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Standard-Disclaimer-Text: 'Guten Tag! Ich bin [Name], ein KI-gestützter Assistent von [Unternehmen], betrieben von NextGen IT Solutions GmbH. Wie kann ich Ihnen helfen?'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Opt-Out-Möglichkeit: Schlüsselwort 'MENSCH' oder 'HUMAN' → sofortige Eskalation an menschlichen Mitarbeiter (Slack-Notification)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Impressum-Link: Footer jedes WebChat-Widgets enthält Link zur Betreiberinformation (NextGen) — Pflicht nach Art. 50 Abs. 2</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Audit: Jeder Disclaimer-Versand wird in Audit-Log geschrieben — Nachweis der Compliance-Erfüllung</w:t>
            </w:r>
          </w:p>
        </w:tc>
      </w:tr>
    </w:tbl>
    <w:p>
      <w:pPr>
        <w:pageBreakBefore/>
      </w:pPr>
    </w:p>
    <w:p>
      <w:pPr>
        <w:pStyle w:val="Heading1"/>
        <w:spacing w:after="200" w:before="480"/>
      </w:pPr>
      <w:r>
        <w:rPr>
          <w:rFonts w:ascii="Arial" w:cs="Arial" w:eastAsia="Arial" w:hAnsi="Arial"/>
          <w:b/>
          <w:bCs/>
          <w:color w:val="1B3A5C"/>
        </w:rPr>
        <w:t xml:space="preserve">Architektur-Entscheidungen &amp; Designprinzipien</w:t>
      </w:r>
    </w:p>
    <w:p>
      <w:pPr>
        <w:pBdr>
          <w:bottom w:val="single" w:color="2E75B6"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folgenden Architektur-Entscheidungen (Architecture Decision Records — ADRs) dokumentieren die wichtigsten technischen Weichenstellungen für OpenClaw Enterprise und ihre Begründungen.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2626"/>
        <w:gridCol w:w="3700"/>
      </w:tblGrid>
      <w:tr>
        <w:tc>
          <w:tcPr>
            <w:tcW w:type="dxa" w:w="5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ADR</w:t>
            </w:r>
          </w:p>
        </w:tc>
        <w:tc>
          <w:tcPr>
            <w:tcW w:type="dxa" w:w="22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Entscheidung</w:t>
            </w:r>
          </w:p>
        </w:tc>
        <w:tc>
          <w:tcPr>
            <w:tcW w:type="dxa" w:w="26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Begründung</w:t>
            </w:r>
          </w:p>
        </w:tc>
        <w:tc>
          <w:tcPr>
            <w:tcW w:type="dxa" w:w="37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Konsequenz</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01</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statt vollständigem K8s</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Leichtgewichtiger, einfacher zu betreiben auf Hetzner, ausreichend für 200 Mandanten</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Kein vollständiger K8s-Feature-Umfang, aber für Use Case ausreichend</w:t>
            </w:r>
          </w:p>
        </w:tc>
      </w:tr>
      <w:tr>
        <w:tc>
          <w:tcPr>
            <w:tcW w:type="dxa" w:w="5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02</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 pgvector statt externer Vector-DB</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Weniger Infrastruktur-Komplexität, DSGVO einfacher, kein externer Sub-AV nötig</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Performance bei &gt; 1M Vektoren prüfen — ggf. Qdrant in v3.0</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03</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 statt Nginx als Ingress</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Native k8s-Integration, automatisches TLS via Let's Encrypt, Dashboard für Debugging</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Traefik-spezifische Konfigurationssyntax — kein NGINX-Standard</w:t>
            </w:r>
          </w:p>
        </w:tc>
      </w:tr>
      <w:tr>
        <w:tc>
          <w:tcPr>
            <w:tcW w:type="dxa" w:w="5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04</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callLLM()-Factory statt direkter API-Nutzung</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Vendor-Independence, einfacher Provider-Wechsel, zentrales Token-Tracking</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Abstraktions-Overhead, muss mit jeder neuen Provider-API aktualisiert werden</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05</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Multi-Schema statt Multi-Instance DB</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Kostengünstiger, einfachere Verwaltung, ausreichende Isolation für DSGVO</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Schlechtere Isolation als eigene DB-Instance — Sovereign-Kunden bekommen eigene DB</w:t>
            </w:r>
          </w:p>
        </w:tc>
      </w:tr>
      <w:tr>
        <w:tc>
          <w:tcPr>
            <w:tcW w:type="dxa" w:w="5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06</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BullMQ statt direkter Request-Verarbeitung</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Fehlertoleranz, Retry-Logik, Peak-Handling, kein Message-Verlust</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Zusätzliche Redis-Abhängigkeit, Latenz erhöht um ~50-100ms</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07</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statt AWS/Azure als Primärinfrastruktur</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Deutsches Unternehmen, EU-Recht, günstiger, für §203-StGB-Argumentation stärker</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Weniger managed Services verfügbar als bei AWS</w:t>
            </w:r>
          </w:p>
        </w:tc>
      </w:tr>
    </w:tbl>
    <w:p>
      <w:pPr>
        <w:spacing w:after="0" w:before="120"/>
      </w:pPr>
    </w:p>
    <w:p>
      <w:pPr>
        <w:pBdr>
          <w:bottom w:val="single" w:color="2E75B6" w:sz="6" w:space="1"/>
        </w:pBdr>
        <w:spacing w:after="120" w:before="120"/>
      </w:pPr>
    </w:p>
    <w:p>
      <w:pPr>
        <w:spacing w:after="0" w:before="60"/>
      </w:pPr>
    </w:p>
    <w:p>
      <w:pPr>
        <w:spacing w:after="80" w:before="60"/>
      </w:pPr>
      <w:r>
        <w:rPr>
          <w:rFonts w:ascii="Arial" w:cs="Arial" w:eastAsia="Arial" w:hAnsi="Arial"/>
          <w:b w:val="false"/>
          <w:bCs w:val="false"/>
          <w:i/>
          <w:iCs/>
          <w:color w:val="8898AA"/>
          <w:sz w:val="22"/>
          <w:szCs w:val="22"/>
        </w:rPr>
        <w:t xml:space="preserve">Diese Architektur-Dokumentation wurde mittels eines 12-Agenten-Orchestrators auf Basis von Claude Sonnet 4.6 (Anthropic) erstellt. Jede Schicht wurde von einem spezialisierten Sub-Agenten analysiert und dokumentiert.</w:t>
      </w:r>
    </w:p>
    <w:p>
      <w:pPr>
        <w:spacing w:after="80" w:before="60"/>
      </w:pPr>
      <w:r>
        <w:rPr>
          <w:rFonts w:ascii="Arial" w:cs="Arial" w:eastAsia="Arial" w:hAnsi="Arial"/>
          <w:b w:val="false"/>
          <w:bCs w:val="false"/>
          <w:i/>
          <w:iCs/>
          <w:color w:val="8898AA"/>
          <w:sz w:val="22"/>
          <w:szCs w:val="22"/>
        </w:rPr>
        <w:t xml:space="preserve">© 2026 NextGen IT Solutions GmbH, Stuttgart · Systemarchitektur OpenClaw Enterprise v1.0 · März 2026 · Vertraulich</w:t>
      </w:r>
    </w:p>
    <w:sectPr>
      <w:headerReference w:type="default" r:id="rId7"/>
      <w:footerReference w:type="default" r:id="rId8"/>
      <w:pgSz w:w="11906" w:h="16838" w:orient="portrait"/>
      <w:pgMar w:top="1134" w:right="1134" w:bottom="1134"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after="0" w:before="100"/>
    </w:pPr>
    <w:r>
      <w:rPr>
        <w:rFonts w:ascii="Arial" w:cs="Arial" w:eastAsia="Arial" w:hAnsi="Arial"/>
        <w:color w:val="8898AA"/>
        <w:sz w:val="18"/>
        <w:szCs w:val="18"/>
      </w:rPr>
      <w:t xml:space="preserve">Stuttgart, März 2026  |  Architektur-Dokumentation  |  Seite </w:t>
    </w:r>
    <w:r>
      <w:rPr>
        <w:rFonts w:ascii="Arial" w:cs="Arial" w:eastAsia="Arial" w:hAnsi="Arial"/>
        <w:color w:val="8898AA"/>
        <w:sz w:val="18"/>
        <w:szCs w:val="18"/>
      </w:rPr>
      <w:fldChar w:fldCharType="begin"/>
      <w:instrText xml:space="preserve">PAGE</w:instrText>
      <w:fldChar w:fldCharType="separate"/>
      <w:fldChar w:fldCharType="end"/>
    </w:r>
    <w:r>
      <w:rPr>
        <w:rFonts w:ascii="Arial" w:cs="Arial" w:eastAsia="Arial" w:hAnsi="Arial"/>
        <w:color w:val="8898AA"/>
        <w:sz w:val="18"/>
        <w:szCs w:val="18"/>
      </w:rPr>
      <w:t xml:space="preserve"> von </w:t>
    </w:r>
    <w:r>
      <w:rPr>
        <w:rFonts w:ascii="Arial" w:cs="Arial" w:eastAsia="Arial" w:hAnsi="Arial"/>
        <w:color w:val="8898A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spacing w:after="120" w:before="0"/>
    </w:pPr>
    <w:r>
      <w:rPr>
        <w:rFonts w:ascii="Arial" w:cs="Arial" w:eastAsia="Arial" w:hAnsi="Arial"/>
        <w:color w:val="8898AA"/>
        <w:sz w:val="18"/>
        <w:szCs w:val="18"/>
      </w:rPr>
      <w:t xml:space="preserve">NextGen IT Solutions GmbH  |  Systemarchitektur: OpenClaw Enterprise  |  12 Schichten  |  Vertraulich  |  März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B3A5C"/>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2E75B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B3A5C"/>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2026-03-17T12:55:23.398Z</dcterms:created>
  <dcterms:modified xsi:type="dcterms:W3CDTF">2026-03-17T12:55:23.401Z</dcterms:modified>
</cp:coreProperties>
</file>

<file path=docProps/custom.xml><?xml version="1.0" encoding="utf-8"?>
<Properties xmlns="http://schemas.openxmlformats.org/officeDocument/2006/custom-properties" xmlns:vt="http://schemas.openxmlformats.org/officeDocument/2006/docPropsVTypes"/>
</file>