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8898AA"/>
          <w:spacing w:val="150"/>
          <w:sz w:val="20"/>
          <w:szCs w:val="20"/>
        </w:rPr>
        <w:t xml:space="preserve">NEXTGEN IT SOLUTIONS GMBH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98AA"/>
          <w:sz w:val="20"/>
          <w:szCs w:val="20"/>
        </w:rPr>
        <w:t xml:space="preserve">Stuttgart · Managed AI Services · OpenClaw Enterprise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none" w:sz="0"/>
              <w:bottom w:val="single" w:color="DDE3EC" w:sz="1"/>
              <w:right w:val="none" w:sz="0"/>
            </w:tcBorders>
            <w:shd w:fill="1B3A5C" w:val="clear"/>
            <w:tcMar>
              <w:top w:type="dxa" w:w="260"/>
              <w:left w:type="dxa" w:w="320"/>
              <w:bottom w:type="dxa" w:w="260"/>
              <w:right w:type="dxa" w:w="3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6F1FB"/>
                <w:sz w:val="24"/>
                <w:szCs w:val="24"/>
              </w:rPr>
              <w:t xml:space="preserve">Vertragsrecht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AGB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6F1FB"/>
                <w:sz w:val="22"/>
                <w:szCs w:val="22"/>
              </w:rPr>
              <w:t xml:space="preserve">Allgemeine Geschäftsbedingungen — OpenClaw Enterprise Managed AI Service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v1.0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Datum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März 2026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Status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Aktiv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Vertraulich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85FA5"/>
                <w:sz w:val="20"/>
                <w:szCs w:val="20"/>
              </w:rPr>
              <w:t xml:space="preserve">Intern + Kunden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§ 1 Geltungsbereich und Vertragspartner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(1) Diese Allgemeinen Geschäftsbedingungen (AGB) der NextGen IT Solutions GmbH, Stuttgarter Straße [•], 70[•] Stuttgart, eingetragen im Handelsregister Stuttgart unter HRB [•] (nachfolgend 'NextGen'), gelten für alle Verträge über die Nutzung des Dienstes OpenClaw Enterprise (Managed AI Service).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(2) Abweichende, entgegenstehende oder ergänzende AGB des Kunden werden nur Vertragsbestandteil, soweit NextGen ihrer Geltung ausdrücklich schriftlich zugestimmt hat.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(3) Diese AGB gelten ausschließlich gegenüber Unternehmern im Sinne des § 14 BGB (B2B). Eine Nutzung durch Verbraucher ist ausgeschlossen.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§ 2 Leistungsbeschreibung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(1) NextGen stellt dem Kunden OpenClaw Enterprise als Software-as-a-Service (SaaS) zur Verfügung. Der Dienst umfasst den Betrieb eines KI-gestützten Assistenten über konfigurierbare Messaging-Kanäle (insbesondere WhatsApp Business API, Microsoft Teams, Telegram, Slack und WebChat-Widget).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(2) Der konkrete Leistungsumfang richtet sich nach dem gebuchten Paket (Starter, Professional, Enterprise, Sovereign) gemäß der aktuellen Leistungsbeschreibung und Preisliste.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(3) NextGen ist berechtigt, die Leistungen durch Drittanbieter (Subauftragsverarbeiter) zu erbringen. Eine aktuelle Liste der Subauftragsverarbeiter ist dem Auftragsverarbeitungsvertrag (AVV) als Anlage beigefügt.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(4) NextGen behält sich vor, die Leistungen in angemessenem Umfang zu ändern oder anzupassen, insbesondere bei Änderungen durch LLM-Anbieter (Anthropic, Mistral, u.a.). Der Kunde wird über wesentliche Änderungen mit einer Frist von 30 Tagen informiert.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§ 3 Vertragsschluss und Laufzeit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(1) Der Vertrag kommt durch Annahme des schriftlichen Angebots von NextGen durch den Kunden oder durch Abschluss des Online-Checkouts zustande.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(2) Der Vertrag wird auf unbestimmte Zeit geschlossen, sofern keine abweichende Mindestlaufzeit vereinbart wurde.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(3) Die Mindestlaufzeit beträgt bei Monatspaketen einen (1) Monat, bei Jahrespaketen zwölf (12) Monate.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(4) Kündigungsfrist: Monatspakete 30 Tage zum Monatsende; Jahrespakete 90 Tage vor Ablauf der Vertragslaufzeit. Die Kündigung bedarf der Schriftform (E-Mail ausreichend).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§ 4 Preise, Zahlung und Preisanpassung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26"/>
        <w:gridCol w:w="1800"/>
        <w:gridCol w:w="1600"/>
      </w:tblGrid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Paket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Preis/Nutzer/Mo.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Kanäle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Token-Kontingent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SLA-Uptime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Starter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49 EUR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 Kanäle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Standard (Haiku)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99,0%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99 EUR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10 Kanäle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Erweitert (Sonnet)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99,5%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Enterprise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199 EUR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Alle Kanäle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Premium (Sonnet/Mistral)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99,9%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Sovereign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ab 499 EUR/Mo.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Alle Kanäle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On-Premise (Ollama)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99,9%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(2) Alle Preise verstehen sich zzgl. der gesetzlichen Umsatzsteuer (19%).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(3) Rechnungsstellung monatlich im Voraus. Zahlungsziel 14 Tage netto. Bei Zahlungsverzug ist NextGen berechtigt, den Dienst nach schriftlicher Mahnung und Ablauf einer Nachfrist von 14 Tagen zu sperren.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(4) Preisanpassungsklausel: NextGen ist berechtigt, die Preise einmal jährlich um maximal 5 % anzupassen. Bei Kostensteigerungen der LLM-API-Anbieter um mehr als 20 % ist NextGen berechtigt, die Mehrkosten anteilig weiterzugeben. In beiden Fällen gilt eine Ankündigungsfrist von 3 Monaten. Der Kunde hat im Falle einer Preiserhöhung ein Sonderkündigungsrecht innerhalb von 4 Wochen nach Ankündigung.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§ 5 Acceptable Use Policy (AUP) — Verbotene Nutzungen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Dem Kunden ist es untersagt, OpenClaw Enterprise für folgende Zwecke zu nutzen: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Entwicklung, Planung oder Beschaffung von Waffen oder militärischen Systemen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Erstellung, Verbreitung oder Speicherung von kinderpornografischen oder kindersexuell missbräuchlichen Inhalten (CSAM)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Volksverhetzung, Hasskriminalität, Diskriminierung aufgrund geschützter Merkmale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Durchführung von Betrug, Phishing, Social Engineering oder Identitätsdiebstahl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Erstellung von politischen Desinformationskampagnen, Deepfakes oder Wahlmanipulation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Massenüberwachung oder Profiling von Personen ohne deren Einwilligung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Ersatz für zugelassene Rechts-, Medizin- oder Finanzberatung ohne entsprechende Transparenzhinweise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Autonome Entscheidungen über Personen in Hochrisikobereich (HR, Kredit, Strafrecht) ohne menschliche Überprüfung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Verstöße berechtigen NextGen zur sofortigen außerordentlichen Kündigung ohne Rückerstattung bereits gezahlter Entgelte.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§ 6 Datenschutz und KI-Transparenz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(1) Die Verarbeitung personenbezogener Daten erfolgt auf Grundlage des zwischen den Parteien abzuschließenden Auftragsverarbeitungsvertrags (AVV) gemäß Art. 28 DSGVO.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(2) EU AI Act Transparenzpflicht (ab August 2026): NextGen stellt sicher, dass Endnutzer bei erstem Kontakt darüber informiert werden, dass sie mit einem KI-System interagieren. Der Kunde ist verpflichtet, den von NextGen bereitgestellten Pflicht-Disclaimer in seiner Konfiguration beizubehalten.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(3) Der Kunde ist für die Rechtmäßigkeit der Verarbeitung personenbezogener Daten seiner Endnutzer verantwortlich. NextGen handelt als Auftragsverarbeiter.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§ 7 Haftung und Gewährleistung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(1) NextGen haftet unbegrenzt für Schäden aus der Verletzung des Lebens, des Körpers oder der Gesundheit sowie für vorsätzliche oder grob fahrlässige Pflichtverletzungen.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(2) Bei leicht fahrlässiger Verletzung wesentlicher Vertragspflichten ist die Haftung auf den vorhersehbaren, vertragstypischen Schaden begrenzt, höchstens auf den 12-fachen Monatsbetrag des Kunden.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(3) Haftungsausschluss für KI-Outputs: NextGen übernimmt keine Haftung für die inhaltliche Richtigkeit der durch das KI-Sprachmodell generierten Antworten. Der Kunde ist verpflichtet, KI-generierte Inhalte in sicherheitsrelevanten Bereichen durch qualifiziertes Personal zu prüfen.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(4) Höhere Gewalt: Bei Ausfall der LLM-API-Anbieter (Anthropic, Mistral, AWS), soweit dieser nicht durch NextGen zu vertreten ist, haftet NextGen nicht für daraus resultierende Einschränkungen des Dienstes, sofern NextGen unverzüglich informiert und Gegenmaßnahmen (Fallback-Provider) eingeleitet hat.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§ 8 Kündigung und Exit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(1) Bei Kündigung oder Vertragsende wird dem Kunden eine Frist von 30 Tagen ab Wirksamwerden der Kündigung gewährt, um seine Daten zu exportieren.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(2) NextGen stellt nach Kündigung einen Datenexport (JSON/CSV) der Konversationshistorie, Konfigurationen und System-Prompts bereit.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(3) Nach Ablauf der 30-Tage-Exportfrist werden alle Kundendaten unwiderruflich gelöscht. NextGen stellt dem Kunden ein Löschprotokoll als PDF aus.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(4) Das Recht zur außerordentlichen Kündigung aus wichtigem Grund bleibt unberührt.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§ 9 Schlussbestimmungen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(1) Es gilt das Recht der Bundesrepublik Deutschland unter Ausschluss des UN-Kaufrechts (CISG).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(2) Gerichtsstand für Streitigkeiten mit Vollkaufleuten ist Stuttgart.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(3) Änderungen oder Ergänzungen dieser AGB bedürfen der Schriftform. Gleiches gilt für den Verzicht auf das Schriftformerfordernis.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(4) Sollten einzelne Bestimmungen unwirksam sein, bleibt die Wirksamkeit der übrigen Bestimmungen unberührt. An die Stelle der unwirksamen Bestimmung tritt eine Regelung, die dem wirtschaftlichen Zweck am nächsten kommt.</w:t>
      </w:r>
    </w:p>
    <w:p>
      <w:pPr>
        <w:spacing w:after="0" w:before="6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/>
          <w:iCs/>
          <w:color w:val="8898AA"/>
          <w:sz w:val="22"/>
          <w:szCs w:val="22"/>
        </w:rPr>
        <w:t xml:space="preserve">Stand: März 2026 | NextGen IT Solutions GmbH, Stuttgart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8898AA"/>
        <w:sz w:val="18"/>
        <w:szCs w:val="18"/>
      </w:rPr>
      <w:t xml:space="preserve">Stuttgart, März 2026  |  Allgemeine Geschäftsbedingungen  |  Seite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98AA"/>
        <w:sz w:val="18"/>
        <w:szCs w:val="18"/>
      </w:rPr>
      <w:t xml:space="preserve"> von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8898AA"/>
        <w:sz w:val="18"/>
        <w:szCs w:val="18"/>
      </w:rPr>
      <w:t xml:space="preserve">NextGen IT Solutions GmbH  |  AGB: OpenClaw Enterprise v1.0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2026-03-17T13:50:29.045Z</dcterms:created>
  <dcterms:modified xsi:type="dcterms:W3CDTF">2026-03-17T13:50:29.046Z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