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 · OpenClaw Enterprise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260"/>
              <w:left w:type="dxa" w:w="320"/>
              <w:bottom w:type="dxa" w:w="260"/>
              <w:right w:type="dxa" w:w="32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color w:val="E6F1FB"/>
                <w:sz w:val="24"/>
                <w:szCs w:val="24"/>
              </w:rPr>
              <w:t xml:space="preserve">Vertragsrecht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6"/>
                <w:szCs w:val="56"/>
              </w:rPr>
              <w:t xml:space="preserve">AVV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2"/>
                <w:szCs w:val="22"/>
              </w:rPr>
              <w:t xml:space="preserve">Auftragsverarbeitungsvertrag gem. Art. 28 DSGVO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Aktiv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Vertraulich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85FA5"/>
                <w:sz w:val="20"/>
                <w:szCs w:val="20"/>
              </w:rPr>
              <w:t xml:space="preserve">Intern + Kunden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Präambel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Dieser Auftragsverarbeitungsvertrag (AVV) wird geschlossen zwischen dem Kunden (Auftraggeber/Verantwortlicher) und der NextGen IT Solutions GmbH, Stuttgart (Auftragnehmer/Auftragsverarbeiter) im Zusammenhang mit der Nutzung von OpenClaw Enterprise. Er konkretisiert die datenschutzrechtlichen Pflichten beider Parteien gemäß Art. 28 DSGVO.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1 — Gegenstand und Dauer der Verarbeitung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NextGen verarbeitet im Auftrag des Kunden personenbezogene Daten zum Zweck des Betriebs des KI-Assistenten OpenClaw Enterprise.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Die Verarbeitung erfolgt ausschließlich auf Weisung des Kunden. NextGen verarbeitet die Daten für keine eigenen Zwecke.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(3) Dieser AVV gilt für die Dauer des Hauptvertrags (AGB). Bei Beendigung sind alle Daten zu löschen oder zurückzugeben.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2 — Art der Daten und Kreis der Betroffenen</w:t>
      </w:r>
    </w:p>
    <w:p>
      <w:pPr>
        <w:pBdr>
          <w:bottom w:val="single" w:color="2E75B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Kategorie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Kommunikationsdaten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Nachrichten, Zeitstempel, Kanal-ID (WhatsApp, Teams, Telegram usw.)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Nutzeridentifikatoren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WhatsApp-Nummern, Teams-User-IDs, Telegram-Chat-IDs — pseudonymisiert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Gerätedaten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User-Agent, IP-Adresse (nur für Sicherheitslogging, sofortige Pseudonymisierung)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KI-Gesprächsinhalte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Texte, Bilder, Dokumente die Endnutzer an den Assistenten senden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Konfigurationsdaten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System-Prompts, Kanal-Konfigurationen, API-Keys (verschlüsselt)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Betroffene</w:t>
            </w:r>
          </w:p>
        </w:tc>
        <w:tc>
          <w:tcPr>
            <w:tcW w:type="dxa" w:w="6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Endnutzer des Kunden (Mitarbeiter, Kunden des Kunden, sonstige Kontaktpersonen)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3 — Pflichten des Auftragsverarbeiters (NextGen)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Verarbeitung ausschließlich auf dokumentierte Weisung des Kunden (Art. 28 Abs. 3 lit. a DSGVO)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Gewährleistung der Vertraulichkeit durch Verpflichtung aller mit der Verarbeitung befassten Personen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Umsetzung aller erforderlichen technischen und organisatorischen Maßnahmen (TOMs) gem. Art. 32 DSGVO — siehe Anlage 2 (TOM-Dokument)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Unterstützung des Kunden bei der Erfüllung von Betroffenenanfragen (Auskunft, Löschung, Portabilität) binnen 72 Stunden nach Eingang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Meldung von Datenschutzverletzungen an den Kunden unverzüglich, spätestens innerhalb von 24 Stunden nach Kenntnis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Bereitstellung aller für Nachweise erforderlichen Informationen und Ermöglichung von Audits (einmal jährlich, 4 Wochen Vorlauf, schriftlich)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Löschung aller Kundendaten nach Vertragsende binnen 30 Tagen, Löschprotokoll an Kunden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4 — Subauftragsverarbeiter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NextGen ist berechtigt, folgende Subauftragsverarbeiter einzusetzen. Wesentliche Änderungen werden dem Kunden 30 Tage im Voraus mitgeteilt: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1626"/>
        <w:gridCol w:w="3000"/>
      </w:tblGrid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Sub-AV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Sitz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Rechtsgrundlage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Aufgabe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AWS EMEA SARL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Luxemburg (EU)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28 DSGVO + EU SCCs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Bedrock EU (eu-central-1) — LLM-Inferenz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Anthropic PBC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USA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EU SCCs (Modul 2)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Claude Sprachmodelle via AWS Bedrock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Mistral AI SAS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Paris (FR/EU)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28 DSGVO direkt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Mistral Large 2 — EU-native, kein Cloud Act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Hetzner Online GmbH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Nürnberg (DE)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Art. 28 DSGVO direkt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Server, Storage, Netzwerk — ISO 27001 zertifiziert</w:t>
            </w:r>
          </w:p>
        </w:tc>
      </w:tr>
      <w:tr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HashiCorp (via Vault)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Self-Hosted (DE)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Kein externer Sub-AV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Secret-Management auf Hetzner-Servern</w:t>
            </w:r>
          </w:p>
        </w:tc>
      </w:tr>
    </w:tbl>
    <w:p>
      <w:pPr>
        <w:spacing w:after="0" w:before="8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/>
          <w:iCs/>
          <w:color w:val="854F0B"/>
          <w:sz w:val="22"/>
          <w:szCs w:val="22"/>
        </w:rPr>
        <w:t xml:space="preserve">Für §203 StGB-relevante Kunden (Kanzleien, Arztpraxen): Kein US-Cloud-Anbieter wird eingesetzt. Stattdessen: Mistral AI SAS (Paris) oder Ollama Self-Hosted (Sovereign-Paket).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5 — Technische und organisatorische Maßnahmen (Kurzfassung)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Die vollständige TOM-Dokumentation ist in Anlage 2 enthalten. Kernmaßnahmen: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Vertraulichkeit: AES-256-Verschlüsselung at-rest, TLS 1.3 in-transit, Argon2-Passwort-Hashing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Integrität: Append-Only Audit-Logs, Hash-Chain-Tamper-Evidence, Checksummen bei Backups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Verfügbarkeit: Multi-AZ k3s, RTO &lt; 1h (Enterprise), tägliche Backups in Hetzner S3 DE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Belastbarkeit: BullMQ-Queue mit Retry-Logik, Circuit-Breaker, automatischer Fallback-Provider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Zugriffskontrolle: RBAC, MFA für NextGen-interne Accounts, Vault-Secret-Management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F52"/>
          <w:sz w:val="22"/>
          <w:szCs w:val="22"/>
        </w:rPr>
        <w:t xml:space="preserve">Datentrennung: k3s-Namespace-Isolation, separates PostgreSQL-Schema je Mandant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6 — Weisungsrecht und Dokumentation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(1) Der Kunde erteilt Weisungen schriftlich (E-Mail an datenschutz@nextgenitsolutions.de). Mündliche Weisungen sind unverzüglich schriftlich zu bestätigen.</w:t>
      </w: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(2) Hält NextGen eine Weisung für rechtswidrig, ist NextGen verpflichtet, den Kunden unverzüglich darauf hinzuweisen und die Ausführung bis zur Klärung auszusetzen.</w:t>
      </w:r>
    </w:p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Art. 7 — Schlussbestimmungen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Im Übrigen gelten ergänzend die AGB von NextGen IT Solutions GmbH. Bei Widersprüchen geht dieser AVV vor. Gerichtsstand: Stuttgart. Anwendbares Recht: deutsches Recht.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F52"/>
                <w:sz w:val="22"/>
                <w:szCs w:val="22"/>
              </w:rPr>
              <w:t xml:space="preserve">Für den Verantwortlichen (Kunde):</w:t>
            </w:r>
          </w:p>
          <w:p>
            <w:pPr>
              <w:spacing w:after="0" w:before="100"/>
            </w:pP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F52"/>
                <w:sz w:val="22"/>
                <w:szCs w:val="22"/>
              </w:rPr>
              <w:t xml:space="preserve">_______________________________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F52"/>
                <w:sz w:val="22"/>
                <w:szCs w:val="22"/>
              </w:rPr>
              <w:t xml:space="preserve">Ort, Datum, Unterschrift</w:t>
            </w:r>
          </w:p>
        </w:tc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F52"/>
                <w:sz w:val="22"/>
                <w:szCs w:val="22"/>
              </w:rPr>
              <w:t xml:space="preserve">Für den Auftragsverarbeiter (NextGen):</w:t>
            </w:r>
          </w:p>
          <w:p>
            <w:pPr>
              <w:spacing w:after="0" w:before="100"/>
            </w:pP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F52"/>
                <w:sz w:val="22"/>
                <w:szCs w:val="22"/>
              </w:rPr>
              <w:t xml:space="preserve">_______________________________</w:t>
            </w:r>
          </w:p>
          <w:p>
            <w:pPr>
              <w:spacing w:after="80" w:before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F52"/>
                <w:sz w:val="22"/>
                <w:szCs w:val="22"/>
              </w:rPr>
              <w:t xml:space="preserve">Stuttgart, Datum, Unterschrift GF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Auftragsverarbeitungsvertrag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AVV: OpenClaw Enterprise — Art. 28 DSGVO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2026-03-17T13:50:29.056Z</dcterms:created>
  <dcterms:modified xsi:type="dcterms:W3CDTF">2026-03-17T13:50:29.056Z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