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Datenschutzdokumentation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TOM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Technische und organisatorische Maßnahmen gem. Art. 32 DSGVO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Zutrittskontrolle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Maßnahmen zur Verhinderung des Zutritts Unbefugter zu Datenverarbeitungsanlagen: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Hetzner Rechenzentrum: ISO 27001-zertifiziert, biometrische Zugangskontrolle, 24/7-Videoüberwachung, Sicherheitspersonal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Kein physischer Zugang von NextGen-Mitarbeitern zu Servern (vollständig managed infrastructure)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Alle Datenspeicherung ausschließlich in Deutschland (Hetzner Nürnberg / Falkenstein)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Zugangskontrolle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Maßnahmen zur Verhinderung der Nutzung von Datenverarbeitungssystemen durch Unbefugte: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Portal-Authentifizierung: OAuth 2.0 / OpenID Connect (Google, Microsoft) + Magic Link (E-Mail OTP)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Multi-Faktor-Authentifizierung (MFA): Pflicht für alle NextGen-internen Admin-Accounts (TOTP)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API-Key-Hashing: API-Keys werden ausschließlich als Argon2-Hash gespeichert — kein Klartext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Session-Management: JWT mit kurzer Laufzeit (1h), Refresh-Token mit Rotation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Inaktivitäts-Timeout: Portal-Session nach 30 Minuten Inaktivität automatisch beendet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Zugriffskontrolle (Berechtigungsmanagement)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Role-Based Access Control (RBAC): Admin, Manager, Viewer — je Mandant separat konfigurierbar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Need-to-Know-Prinzip: NextGen-Mitarbeiter erhalten nur Zugriff auf Mandantendaten für Support-Tickets nach expliziter Genehmigung des Kunden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k3s Namespace-Isolation: Jeder Mandant in eigenem Kubernetes-Namespace, NetworkPolicy Default-Deny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Datenbankisolation: Separates PostgreSQL-Schema je Mandant, cross-Tenant-Queries technisch unmöglich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Trennungskontrolle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Mandantendaten werden physisch getrennt (separate k3s-Namespaces, PostgreSQL-Schemata, Redis-Prefixe, S3-Verzeichnisse)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Entwicklungs-, Test- und Produktionssysteme sind vollständig getrennt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Keine Nutzung von Produktionsdaten in Test-/Entwicklungsumgebungen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Verschlüsselung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26"/>
        <w:gridCol w:w="4000"/>
      </w:tblGrid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Verfahren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Transport (in-transit)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TLS 1.3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ECDHE, AES-256-GCM, HSTS, kein TLS 1.0/1.1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Datenbanken (at-rest)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AES-256 (pgcrypto)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Sensible Felder verschlüsselt, Key-Management via Vault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Backups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AES-256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Verschlüsselung vor Upload zu Hetzner S3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Passwörter / API-Keys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Argon2id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Salted, nie im Klartext gespeichert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Secrets / Tokens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HashiCorp Vault</w:t>
            </w:r>
          </w:p>
        </w:tc>
        <w:tc>
          <w:tcPr>
            <w:tcW w:type="dxa" w:w="4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Zentrales Secret-Management, automatische Rotation alle 90 Tage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Pseudonymisierung und Datensparsamkeit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IP-Adressen: Sofortige Pseudonymisierung nach Security-Log — letztes Oktett entfernt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Messaging-Plattform-IDs (WhatsApp-Nummern, Teams-IDs): Intern als Hashwerte gespeichert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Konversationshistorie: Standardmäßige Löschung nach 90 Tagen, konfigurierbar 30/60/90/365 Tage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Minimalprinzip: Keine Verarbeitung nicht benötigter Datenfelder — API-Responses werden vor Speicherung gefiltert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7. Verfügbarkeit und Belastbarkeit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Backups: Täglich (Starter), 6-stündlich (Professional), kontinuierlich WAL (Enterprise)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Georedundanz: Backup-Daten in zweitem Hetzner-Standort gespeichert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Monitoring: Prometheus-Alerting bei Anomalien, PagerDuty On-Call 24/7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Wiederherstellungstests: Monatlich für Professional, wöchentlich für Enterprise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Disaster Recovery: Dokumentiertes Runbook, getesteter RTO &lt; 4h (Starter), &lt; 1h (Enterprise)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8. Regelmäßige Überprüfung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Penetrationstest: Jährlich durch BSI-zertifizierten externen Dienstleister, Bericht auf Anfrage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Container-Scanning: Trivy wöchentlich automatisch auf alle Produktions-Images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Dependency-Scanning: Dependabot / Renovate Bot täglich, kritische CVEs &lt; 48h gepatcht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Code-Reviews: Vier-Augen-Prinzip für alle produktionsrelevanten Code-Änderungen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ISO 27001: ISMS-Aufbau Q2 2026, Erstzertifizierung Q4 2026 geplant</w:t>
      </w:r>
    </w:p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8898AA"/>
          <w:sz w:val="22"/>
          <w:szCs w:val="22"/>
        </w:rPr>
        <w:t xml:space="preserve">Diese TOM-Dokumentation wird mindestens jährlich überprüft und bei wesentlichen Änderungen aktualisiert. Stand: März 2026.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Technische und organisatorische Maßnahmen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TOM (Art. 32 DSGVO): OpenClaw Enterprise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2026-03-17T13:50:29.090Z</dcterms:created>
  <dcterms:modified xsi:type="dcterms:W3CDTF">2026-03-17T13:50:29.090Z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