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800"/>
      </w:pP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8898AA"/>
          <w:spacing w:val="150"/>
          <w:sz w:val="20"/>
          <w:szCs w:val="20"/>
        </w:rPr>
        <w:t xml:space="preserve">NEXTGEN IT SOLUTIONS GMBH</w:t>
      </w:r>
    </w:p>
    <w:p>
      <w:pPr>
        <w:spacing w:after="400" w:before="0"/>
        <w:jc w:val="center"/>
      </w:pPr>
      <w:r>
        <w:rPr>
          <w:rFonts w:ascii="Arial" w:cs="Arial" w:eastAsia="Arial" w:hAnsi="Arial"/>
          <w:color w:val="8898AA"/>
          <w:sz w:val="20"/>
          <w:szCs w:val="20"/>
        </w:rPr>
        <w:t xml:space="preserve">Stuttgart · Managed AI Services · OpenClaw Enterprise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E3EC" w:sz="1"/>
              <w:left w:val="none" w:sz="0"/>
              <w:bottom w:val="single" w:color="DDE3EC" w:sz="1"/>
              <w:right w:val="none" w:sz="0"/>
            </w:tcBorders>
            <w:shd w:fill="1B3A5C" w:val="clear"/>
            <w:tcMar>
              <w:top w:type="dxa" w:w="260"/>
              <w:left w:type="dxa" w:w="320"/>
              <w:bottom w:type="dxa" w:w="260"/>
              <w:right w:type="dxa" w:w="320"/>
            </w:tcMar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color w:val="E6F1FB"/>
                <w:sz w:val="24"/>
                <w:szCs w:val="24"/>
              </w:rPr>
              <w:t xml:space="preserve">Datenschutz</w:t>
            </w:r>
          </w:p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56"/>
                <w:szCs w:val="56"/>
              </w:rPr>
              <w:t xml:space="preserve">Datenschutzerklärung + DSFA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E6F1FB"/>
                <w:sz w:val="22"/>
                <w:szCs w:val="22"/>
              </w:rPr>
              <w:t xml:space="preserve">Website · Dienst · Datenschutz-Folgenabschätzung</w:t>
            </w:r>
          </w:p>
        </w:tc>
      </w:tr>
    </w:tbl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7"/>
        <w:gridCol w:w="2256"/>
        <w:gridCol w:w="2257"/>
      </w:tblGrid>
      <w:tr>
        <w:tc>
          <w:tcPr>
            <w:tcW w:type="dxa" w:w="225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98AA"/>
                <w:sz w:val="20"/>
                <w:szCs w:val="20"/>
              </w:rPr>
              <w:t xml:space="preserve">Version</w:t>
            </w:r>
          </w:p>
        </w:tc>
        <w:tc>
          <w:tcPr>
            <w:tcW w:type="dxa" w:w="2257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v1.0</w:t>
            </w:r>
          </w:p>
        </w:tc>
        <w:tc>
          <w:tcPr>
            <w:tcW w:type="dxa" w:w="225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98AA"/>
                <w:sz w:val="20"/>
                <w:szCs w:val="20"/>
              </w:rPr>
              <w:t xml:space="preserve">Datum</w:t>
            </w:r>
          </w:p>
        </w:tc>
        <w:tc>
          <w:tcPr>
            <w:tcW w:type="dxa" w:w="2257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März 2026</w:t>
            </w:r>
          </w:p>
        </w:tc>
      </w:tr>
      <w:tr>
        <w:tc>
          <w:tcPr>
            <w:tcW w:type="dxa" w:w="225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98AA"/>
                <w:sz w:val="20"/>
                <w:szCs w:val="20"/>
              </w:rPr>
              <w:t xml:space="preserve">Status</w:t>
            </w:r>
          </w:p>
        </w:tc>
        <w:tc>
          <w:tcPr>
            <w:tcW w:type="dxa" w:w="2257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Aktiv</w:t>
            </w:r>
          </w:p>
        </w:tc>
        <w:tc>
          <w:tcPr>
            <w:tcW w:type="dxa" w:w="225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98AA"/>
                <w:sz w:val="20"/>
                <w:szCs w:val="20"/>
              </w:rPr>
              <w:t xml:space="preserve">Vertraulich</w:t>
            </w:r>
          </w:p>
        </w:tc>
        <w:tc>
          <w:tcPr>
            <w:tcW w:type="dxa" w:w="2257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85FA5"/>
                <w:sz w:val="20"/>
                <w:szCs w:val="20"/>
              </w:rPr>
              <w:t xml:space="preserve">Intern + Kunden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Teil A — Datenschutzerklärung (Website)</w:t>
      </w:r>
    </w:p>
    <w:p>
      <w:pPr>
        <w:pBdr>
          <w:bottom w:val="single" w:color="2E75B6" w:sz="6" w:space="1"/>
        </w:pBdr>
        <w:spacing w:after="120" w:before="12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1. Verantwortlicher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NextGen IT Solutions GmbH · Stuttgarter Straße [•] · [PLZ] Stuttgart · Geschäftsführer: [Name] · E-Mail: datenschutz@nextgenitsolutions.de · Tel: +49 711 [•]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2. Datenschutzbeauftragter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Externer Datenschutzbeauftragter: [Name der Kanzlei / DSB] · [Adresse] · dsb@[kanzlei.de]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3. Verarbeitete Daten auf der Website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800"/>
        <w:gridCol w:w="1626"/>
        <w:gridCol w:w="3200"/>
      </w:tblGrid>
      <w:tr>
        <w:tc>
          <w:tcPr>
            <w:tcW w:type="dxa" w:w="2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Datenart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Rechtsgrundlage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Speicherdauer</w:t>
            </w:r>
          </w:p>
        </w:tc>
        <w:tc>
          <w:tcPr>
            <w:tcW w:type="dxa" w:w="3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Zweck</w:t>
            </w:r>
          </w:p>
        </w:tc>
      </w:tr>
      <w:tr>
        <w:tc>
          <w:tcPr>
            <w:tcW w:type="dxa" w:w="2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Server-Log-Files (IP, Zeitstempel)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Art. 6 Abs. 1 lit. f DSGVO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7 Tage</w:t>
            </w:r>
          </w:p>
        </w:tc>
        <w:tc>
          <w:tcPr>
            <w:tcW w:type="dxa" w:w="3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Sicherheit, Fehleranalyse</w:t>
            </w:r>
          </w:p>
        </w:tc>
      </w:tr>
      <w:tr>
        <w:tc>
          <w:tcPr>
            <w:tcW w:type="dxa" w:w="2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Kontaktformular (Name, E-Mail, Nachricht)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Art. 6 Abs. 1 lit. b DSGVO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3 Jahre</w:t>
            </w:r>
          </w:p>
        </w:tc>
        <w:tc>
          <w:tcPr>
            <w:tcW w:type="dxa" w:w="3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Anfragenbearbeitung</w:t>
            </w:r>
          </w:p>
        </w:tc>
      </w:tr>
      <w:tr>
        <w:tc>
          <w:tcPr>
            <w:tcW w:type="dxa" w:w="2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Demo-Anfrage-Daten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Art. 6 Abs. 1 lit. b DSGVO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3 Jahre</w:t>
            </w:r>
          </w:p>
        </w:tc>
        <w:tc>
          <w:tcPr>
            <w:tcW w:type="dxa" w:w="3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Angebotserstellung</w:t>
            </w:r>
          </w:p>
        </w:tc>
      </w:tr>
      <w:tr>
        <w:tc>
          <w:tcPr>
            <w:tcW w:type="dxa" w:w="2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Cookies (technisch notwendig)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Art. 6 Abs. 1 lit. f DSGVO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Session / 1 Jahr</w:t>
            </w:r>
          </w:p>
        </w:tc>
        <w:tc>
          <w:tcPr>
            <w:tcW w:type="dxa" w:w="3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Funktionsfähigkeit</w:t>
            </w:r>
          </w:p>
        </w:tc>
      </w:tr>
      <w:tr>
        <w:tc>
          <w:tcPr>
            <w:tcW w:type="dxa" w:w="2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Analytics (PostHog self-hosted)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Art. 6 Abs. 1 lit. f DSGVO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90 Tage</w:t>
            </w:r>
          </w:p>
        </w:tc>
        <w:tc>
          <w:tcPr>
            <w:tcW w:type="dxa" w:w="3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Produktverbesserung — kein US-Transfer</w:t>
            </w:r>
          </w:p>
        </w:tc>
      </w:tr>
    </w:tbl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4. Betroffenenrechte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Auskunft (Art. 15): Anfrage an datenschutz@nextgenitsolutions.de — Beantwortung binnen 4 Wochen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Berichtigung (Art. 16), Löschung (Art. 17), Einschränkung (Art. 18), Portabilität (Art. 20)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Widerspruchsrecht (Art. 21): Jederzeit gegen Verarbeitung auf Basis berechtigtem Interesse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Beschwerderecht: Landesdatenschutzbehörde Baden-Württemberg (LfDI BW), Lautenschlagerstraße 20, 70173 Stuttgart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Teil B — Datenschutz-Folgenabschätzung (DSFA)</w:t>
      </w:r>
    </w:p>
    <w:p>
      <w:pPr>
        <w:pBdr>
          <w:bottom w:val="single" w:color="2E75B6" w:sz="6" w:space="1"/>
        </w:pBdr>
        <w:spacing w:after="120" w:before="120"/>
      </w:pP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Gemäß Art. 35 DSGVO wird eine DSFA für den Einsatz von OpenClaw Enterprise in besonders sensitiven Bereichen durchgeführt.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DSFA-Scope: KI-Assistent in Gesundheits- und Rechtswesen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Beschreibung der Verarbeitung</w:t>
            </w:r>
          </w:p>
        </w:tc>
        <w:tc>
          <w:tcPr>
            <w:tcW w:type="dxa" w:w="6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KI-gestützte Kommunikation mit Patienten / Mandanten über WhatsApp oder Teams — Texte können Gesundheitsdaten (Art. 9 DSGVO) oder berufsgeheimnisrelevante Daten (§203 StGB) enthalten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Verarbeitungszweck</w:t>
            </w:r>
          </w:p>
        </w:tc>
        <w:tc>
          <w:tcPr>
            <w:tcW w:type="dxa" w:w="6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Automatische Beantwortung von Anfragen, Terminvergabe, Dokumentenanforderung — KEIN Ersatz für fachliche Beratung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Betroffene Personen</w:t>
            </w:r>
          </w:p>
        </w:tc>
        <w:tc>
          <w:tcPr>
            <w:tcW w:type="dxa" w:w="6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Patienten, Mandanten, Klienten — potentiell vulnerable Gruppen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Rechtsgrundlage</w:t>
            </w:r>
          </w:p>
        </w:tc>
        <w:tc>
          <w:tcPr>
            <w:tcW w:type="dxa" w:w="6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Art. 6 Abs. 1 lit. b + Art. 9 Abs. 2 lit. h DSGVO (medizinische Versorgung) / lit. f (Kanzleien)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Risikobewertung</w:t>
            </w:r>
          </w:p>
        </w:tc>
        <w:tc>
          <w:tcPr>
            <w:tcW w:type="dxa" w:w="6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Mittleres Risiko — Maßnahmen: Sovereign-Paket (kein US-Cloud-Anbieter), AES-256, Audit-Trail, Keine LLM-Diagnosen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Resid.-Risiko nach Maßnahmen</w:t>
            </w:r>
          </w:p>
        </w:tc>
        <w:tc>
          <w:tcPr>
            <w:tcW w:type="dxa" w:w="6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Niedrig — vertretbar bei Einhaltung der beschriebenen Maßnahmen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Konsultationspflicht BSI/DSB</w:t>
            </w:r>
          </w:p>
        </w:tc>
        <w:tc>
          <w:tcPr>
            <w:tcW w:type="dxa" w:w="6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Nein — Restrisiko nach Maßnahmen ist als niedrig eingestuft (keine Vorabbefragung nach Art. 36 nötig</w:t>
            </w:r>
          </w:p>
        </w:tc>
      </w:tr>
    </w:tbl>
    <w:p>
      <w:pPr>
        <w:spacing w:after="0" w:before="80"/>
      </w:pP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/>
          <w:iCs/>
          <w:color w:val="8898AA"/>
          <w:sz w:val="22"/>
          <w:szCs w:val="22"/>
        </w:rPr>
        <w:t xml:space="preserve">Diese DSFA wird jährlich oder bei wesentlichen Änderungen des Systems überprüft und aktualisiert. Zuständig: Datenschutzbeauftragter NextGen IT Solutions GmbH. Stand: März 2026.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4" w:space="4"/>
      </w:pBdr>
      <w:spacing w:after="0" w:before="100"/>
    </w:pPr>
    <w:r>
      <w:rPr>
        <w:rFonts w:ascii="Arial" w:cs="Arial" w:eastAsia="Arial" w:hAnsi="Arial"/>
        <w:color w:val="8898AA"/>
        <w:sz w:val="18"/>
        <w:szCs w:val="18"/>
      </w:rPr>
      <w:t xml:space="preserve">Stuttgart, März 2026  |  Datenschutzerklärung + DSFA  |  Seite </w:t>
    </w:r>
    <w:r>
      <w:rPr>
        <w:rFonts w:ascii="Arial" w:cs="Arial" w:eastAsia="Arial" w:hAnsi="Arial"/>
        <w:color w:val="8898AA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8898AA"/>
        <w:sz w:val="18"/>
        <w:szCs w:val="18"/>
      </w:rPr>
      <w:t xml:space="preserve"> von </w:t>
    </w:r>
    <w:r>
      <w:rPr>
        <w:rFonts w:ascii="Arial" w:cs="Arial" w:eastAsia="Arial" w:hAnsi="Arial"/>
        <w:color w:val="8898AA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4" w:space="4"/>
      </w:pBdr>
      <w:spacing w:after="120" w:before="0"/>
    </w:pPr>
    <w:r>
      <w:rPr>
        <w:rFonts w:ascii="Arial" w:cs="Arial" w:eastAsia="Arial" w:hAnsi="Arial"/>
        <w:color w:val="8898AA"/>
        <w:sz w:val="18"/>
        <w:szCs w:val="18"/>
      </w:rPr>
      <w:t xml:space="preserve">NextGen IT Solutions GmbH  |  Datenschutzerklärung + DSFA: OpenClaw Enterprise  |  März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80"/>
      <w:outlineLvl w:val="0"/>
    </w:pPr>
    <w:rPr>
      <w:rFonts w:ascii="Arial" w:cs="Arial" w:eastAsia="Arial" w:hAnsi="Arial"/>
      <w:b/>
      <w:bCs/>
      <w:color w:val="1B3A5C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300"/>
      <w:outlineLvl w:val="1"/>
    </w:pPr>
    <w:rPr>
      <w:rFonts w:ascii="Arial" w:cs="Arial" w:eastAsia="Arial" w:hAnsi="Arial"/>
      <w:b/>
      <w:bCs/>
      <w:color w:val="2E75B6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80"/>
      <w:outlineLvl w:val="2"/>
    </w:pPr>
    <w:rPr>
      <w:rFonts w:ascii="Arial" w:cs="Arial" w:eastAsia="Arial" w:hAnsi="Arial"/>
      <w:b/>
      <w:bCs/>
      <w:color w:val="1B3A5C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2026-03-17T13:50:29.119Z</dcterms:created>
  <dcterms:modified xsi:type="dcterms:W3CDTF">2026-03-17T13:50:29.119Z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